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37C41" w14:textId="77777777" w:rsidR="00435926" w:rsidRPr="008D506F" w:rsidRDefault="00435926" w:rsidP="00322897">
      <w:pPr>
        <w:pStyle w:val="CM5"/>
        <w:spacing w:after="120"/>
        <w:rPr>
          <w:b/>
          <w:i/>
        </w:rPr>
      </w:pPr>
    </w:p>
    <w:p w14:paraId="42801611" w14:textId="77777777" w:rsidR="00435926" w:rsidRPr="008D506F" w:rsidRDefault="00435926" w:rsidP="00435926">
      <w:pPr>
        <w:pStyle w:val="Default"/>
        <w:rPr>
          <w:color w:val="auto"/>
        </w:rPr>
      </w:pPr>
    </w:p>
    <w:p w14:paraId="46DB6B6F" w14:textId="77777777" w:rsidR="002E6164" w:rsidRPr="00177786" w:rsidRDefault="00EF77D4" w:rsidP="00322897">
      <w:pPr>
        <w:pStyle w:val="CM5"/>
        <w:spacing w:after="240"/>
        <w:jc w:val="center"/>
        <w:rPr>
          <w:sz w:val="36"/>
          <w:szCs w:val="36"/>
        </w:rPr>
      </w:pPr>
      <w:r w:rsidRPr="00177786">
        <w:rPr>
          <w:sz w:val="36"/>
        </w:rPr>
        <w:t>V3.6</w:t>
      </w:r>
    </w:p>
    <w:p w14:paraId="6AB55252" w14:textId="24E6D3C3" w:rsidR="002E6164" w:rsidRPr="00177786" w:rsidRDefault="002E6164" w:rsidP="00321EC5">
      <w:pPr>
        <w:pStyle w:val="CM6"/>
        <w:jc w:val="center"/>
        <w:rPr>
          <w:sz w:val="32"/>
        </w:rPr>
      </w:pPr>
      <w:r w:rsidRPr="00177786">
        <w:rPr>
          <w:sz w:val="32"/>
        </w:rPr>
        <w:t>VŠEOBECNÉ ZMLUVNÉ PODMIENKY</w:t>
      </w:r>
    </w:p>
    <w:p w14:paraId="7E26ACF0" w14:textId="0D705D0C" w:rsidR="00321EC5" w:rsidRPr="008D506F" w:rsidRDefault="00321EC5" w:rsidP="00321EC5">
      <w:pPr>
        <w:pStyle w:val="Default"/>
        <w:spacing w:after="240"/>
        <w:jc w:val="center"/>
        <w:rPr>
          <w:i/>
          <w:iCs/>
          <w:color w:val="auto"/>
        </w:rPr>
      </w:pPr>
      <w:r w:rsidRPr="008D506F">
        <w:rPr>
          <w:i/>
          <w:iCs/>
          <w:color w:val="auto"/>
          <w:sz w:val="32"/>
          <w:szCs w:val="32"/>
        </w:rPr>
        <w:t>STANDARD TERMS AND CONDITIONS</w:t>
      </w:r>
    </w:p>
    <w:p w14:paraId="282FAD74" w14:textId="77777777" w:rsidR="00815791" w:rsidRPr="00177786" w:rsidRDefault="002E6164" w:rsidP="00815791">
      <w:pPr>
        <w:pStyle w:val="CM7"/>
        <w:jc w:val="center"/>
        <w:rPr>
          <w:sz w:val="32"/>
        </w:rPr>
      </w:pPr>
      <w:r w:rsidRPr="00177786">
        <w:rPr>
          <w:sz w:val="32"/>
        </w:rPr>
        <w:t>MEDZI</w:t>
      </w:r>
    </w:p>
    <w:p w14:paraId="4923FB31" w14:textId="36D1C2EC" w:rsidR="002E6164" w:rsidRPr="008D506F" w:rsidRDefault="00815791" w:rsidP="00322897">
      <w:pPr>
        <w:pStyle w:val="CM7"/>
        <w:spacing w:after="240"/>
        <w:jc w:val="center"/>
        <w:rPr>
          <w:i/>
          <w:iCs/>
          <w:sz w:val="32"/>
        </w:rPr>
      </w:pPr>
      <w:r w:rsidRPr="008D506F">
        <w:rPr>
          <w:i/>
          <w:iCs/>
          <w:sz w:val="32"/>
        </w:rPr>
        <w:t>BETWEEN</w:t>
      </w:r>
    </w:p>
    <w:p w14:paraId="6F3F7D47" w14:textId="77777777" w:rsidR="00815791" w:rsidRPr="00A54A53" w:rsidRDefault="00815791" w:rsidP="00815791">
      <w:pPr>
        <w:pStyle w:val="Default"/>
        <w:rPr>
          <w:iCs/>
          <w:color w:val="auto"/>
        </w:rPr>
      </w:pPr>
    </w:p>
    <w:p w14:paraId="046853C2" w14:textId="39632579" w:rsidR="002E6164" w:rsidRDefault="002B11AA" w:rsidP="00322897">
      <w:pPr>
        <w:pStyle w:val="CM7"/>
        <w:spacing w:after="240"/>
        <w:jc w:val="center"/>
        <w:rPr>
          <w:iCs/>
          <w:sz w:val="32"/>
        </w:rPr>
      </w:pPr>
      <w:r w:rsidRPr="00A54A53">
        <w:rPr>
          <w:iCs/>
          <w:sz w:val="32"/>
        </w:rPr>
        <w:t xml:space="preserve">SPP – distribúcia, a.s. </w:t>
      </w:r>
    </w:p>
    <w:p w14:paraId="1B6D2374" w14:textId="03259B34" w:rsidR="00765CD3" w:rsidRPr="00A54A53" w:rsidRDefault="00765CD3" w:rsidP="00765CD3">
      <w:pPr>
        <w:spacing w:before="239"/>
        <w:ind w:left="3" w:right="97"/>
        <w:jc w:val="center"/>
        <w:rPr>
          <w:rFonts w:asciiTheme="minorBidi" w:hAnsiTheme="minorBidi" w:cstheme="minorBidi"/>
          <w:i/>
          <w:sz w:val="32"/>
        </w:rPr>
      </w:pPr>
      <w:r w:rsidRPr="00A54A53">
        <w:rPr>
          <w:rFonts w:asciiTheme="minorBidi" w:hAnsiTheme="minorBidi" w:cstheme="minorBidi"/>
          <w:iCs/>
          <w:sz w:val="32"/>
        </w:rPr>
        <w:t>IČO</w:t>
      </w:r>
      <w:r w:rsidRPr="00A54A53">
        <w:rPr>
          <w:rFonts w:asciiTheme="minorBidi" w:hAnsiTheme="minorBidi" w:cstheme="minorBidi"/>
          <w:i/>
          <w:spacing w:val="-10"/>
          <w:sz w:val="32"/>
        </w:rPr>
        <w:t xml:space="preserve"> </w:t>
      </w:r>
      <w:r w:rsidRPr="00A54A53">
        <w:rPr>
          <w:rFonts w:asciiTheme="minorBidi" w:hAnsiTheme="minorBidi" w:cstheme="minorBidi"/>
          <w:i/>
          <w:sz w:val="32"/>
        </w:rPr>
        <w:t>/</w:t>
      </w:r>
      <w:r w:rsidRPr="00A54A53">
        <w:rPr>
          <w:rFonts w:asciiTheme="minorBidi" w:hAnsiTheme="minorBidi" w:cstheme="minorBidi"/>
          <w:i/>
          <w:spacing w:val="-7"/>
          <w:sz w:val="32"/>
        </w:rPr>
        <w:t xml:space="preserve"> </w:t>
      </w:r>
      <w:r w:rsidRPr="00A54A53">
        <w:rPr>
          <w:rFonts w:asciiTheme="minorBidi" w:hAnsiTheme="minorBidi" w:cstheme="minorBidi"/>
          <w:i/>
          <w:sz w:val="32"/>
        </w:rPr>
        <w:t>Business</w:t>
      </w:r>
      <w:r w:rsidRPr="00A54A53">
        <w:rPr>
          <w:rFonts w:asciiTheme="minorBidi" w:hAnsiTheme="minorBidi" w:cstheme="minorBidi"/>
          <w:i/>
          <w:spacing w:val="-8"/>
          <w:sz w:val="32"/>
        </w:rPr>
        <w:t xml:space="preserve"> </w:t>
      </w:r>
      <w:r w:rsidRPr="00A54A53">
        <w:rPr>
          <w:rFonts w:asciiTheme="minorBidi" w:hAnsiTheme="minorBidi" w:cstheme="minorBidi"/>
          <w:i/>
          <w:sz w:val="32"/>
        </w:rPr>
        <w:t>Registration</w:t>
      </w:r>
      <w:r w:rsidRPr="00A54A53">
        <w:rPr>
          <w:rFonts w:asciiTheme="minorBidi" w:hAnsiTheme="minorBidi" w:cstheme="minorBidi"/>
          <w:i/>
          <w:spacing w:val="-7"/>
          <w:sz w:val="32"/>
        </w:rPr>
        <w:t xml:space="preserve"> </w:t>
      </w:r>
      <w:r w:rsidRPr="00A54A53">
        <w:rPr>
          <w:rFonts w:asciiTheme="minorBidi" w:hAnsiTheme="minorBidi" w:cstheme="minorBidi"/>
          <w:i/>
          <w:sz w:val="32"/>
        </w:rPr>
        <w:t>No.</w:t>
      </w:r>
      <w:r w:rsidRPr="00A54A53">
        <w:rPr>
          <w:rFonts w:asciiTheme="minorBidi" w:hAnsiTheme="minorBidi" w:cstheme="minorBidi"/>
          <w:iCs/>
          <w:sz w:val="32"/>
        </w:rPr>
        <w:t>:</w:t>
      </w:r>
      <w:r w:rsidRPr="00A54A53">
        <w:rPr>
          <w:rFonts w:asciiTheme="minorBidi" w:hAnsiTheme="minorBidi" w:cstheme="minorBidi"/>
          <w:iCs/>
          <w:spacing w:val="-9"/>
          <w:sz w:val="32"/>
        </w:rPr>
        <w:t xml:space="preserve"> </w:t>
      </w:r>
      <w:r w:rsidR="0053443B" w:rsidRPr="00A54A53">
        <w:rPr>
          <w:rFonts w:asciiTheme="minorBidi" w:hAnsiTheme="minorBidi" w:cstheme="minorBidi"/>
          <w:iCs/>
          <w:sz w:val="32"/>
        </w:rPr>
        <w:t>35 910 739</w:t>
      </w:r>
    </w:p>
    <w:p w14:paraId="7C05A38C" w14:textId="6FF44168" w:rsidR="00765CD3" w:rsidRDefault="0053443B" w:rsidP="00A54A53">
      <w:pPr>
        <w:pStyle w:val="Default"/>
        <w:jc w:val="center"/>
        <w:rPr>
          <w:rFonts w:asciiTheme="minorBidi" w:eastAsia="Arial" w:hAnsiTheme="minorBidi" w:cstheme="minorBidi"/>
          <w:color w:val="auto"/>
          <w:lang w:eastAsia="en-US"/>
        </w:rPr>
      </w:pPr>
      <w:r w:rsidRPr="00A54A53">
        <w:rPr>
          <w:rFonts w:asciiTheme="minorBidi" w:eastAsia="Arial" w:hAnsiTheme="minorBidi" w:cstheme="minorBidi"/>
          <w:color w:val="auto"/>
          <w:lang w:eastAsia="en-US"/>
        </w:rPr>
        <w:t>Plátennícka 19013/2, 821 09 Bratislava – mestská časť Ružinov, Slovenská republika</w:t>
      </w:r>
    </w:p>
    <w:p w14:paraId="4197A7F4" w14:textId="77777777" w:rsidR="00D20B1A" w:rsidRPr="00A54A53" w:rsidRDefault="00D20B1A" w:rsidP="00A54A53">
      <w:pPr>
        <w:pStyle w:val="Default"/>
        <w:jc w:val="center"/>
        <w:rPr>
          <w:rFonts w:asciiTheme="minorBidi" w:eastAsia="Arial" w:hAnsiTheme="minorBidi" w:cstheme="minorBidi"/>
          <w:color w:val="auto"/>
          <w:lang w:eastAsia="en-US"/>
        </w:rPr>
      </w:pPr>
    </w:p>
    <w:p w14:paraId="01CEECD5" w14:textId="77777777" w:rsidR="00815791" w:rsidRPr="00A54A53" w:rsidRDefault="002E6164" w:rsidP="00815791">
      <w:pPr>
        <w:pStyle w:val="CM7"/>
        <w:jc w:val="center"/>
        <w:rPr>
          <w:rFonts w:asciiTheme="minorBidi" w:hAnsiTheme="minorBidi" w:cstheme="minorBidi"/>
          <w:sz w:val="32"/>
        </w:rPr>
      </w:pPr>
      <w:r w:rsidRPr="00A54A53">
        <w:rPr>
          <w:rFonts w:asciiTheme="minorBidi" w:hAnsiTheme="minorBidi" w:cstheme="minorBidi"/>
          <w:sz w:val="32"/>
        </w:rPr>
        <w:t>A</w:t>
      </w:r>
    </w:p>
    <w:p w14:paraId="2E9EF86F" w14:textId="4795C7C6" w:rsidR="00DE46DC" w:rsidRPr="00930A4C" w:rsidRDefault="00815791" w:rsidP="00930A4C">
      <w:pPr>
        <w:pStyle w:val="CM7"/>
        <w:spacing w:after="240"/>
        <w:jc w:val="center"/>
        <w:rPr>
          <w:rFonts w:asciiTheme="minorBidi" w:hAnsiTheme="minorBidi" w:cstheme="minorBidi"/>
          <w:i/>
          <w:iCs/>
          <w:sz w:val="32"/>
          <w:szCs w:val="32"/>
        </w:rPr>
      </w:pPr>
      <w:r w:rsidRPr="00A54A53">
        <w:rPr>
          <w:rFonts w:asciiTheme="minorBidi" w:hAnsiTheme="minorBidi" w:cstheme="minorBidi"/>
          <w:i/>
          <w:iCs/>
          <w:sz w:val="32"/>
        </w:rPr>
        <w:t>AND</w:t>
      </w:r>
    </w:p>
    <w:p w14:paraId="1CC20EFE" w14:textId="254FBF4C" w:rsidR="006226BA" w:rsidRDefault="00000000" w:rsidP="007935D1">
      <w:pPr>
        <w:jc w:val="center"/>
        <w:rPr>
          <w:rFonts w:asciiTheme="minorBidi" w:eastAsia="Arial" w:hAnsiTheme="minorBidi" w:cstheme="minorBidi"/>
          <w:iCs/>
          <w:sz w:val="32"/>
          <w:szCs w:val="32"/>
          <w:lang w:eastAsia="en-US"/>
        </w:rPr>
      </w:pPr>
      <w:sdt>
        <w:sdtPr>
          <w:rPr>
            <w:rFonts w:asciiTheme="minorBidi" w:hAnsiTheme="minorBidi" w:cstheme="minorBidi"/>
            <w:sz w:val="32"/>
            <w:szCs w:val="32"/>
            <w:highlight w:val="lightGray"/>
          </w:rPr>
          <w:id w:val="1975943471"/>
          <w:placeholder>
            <w:docPart w:val="DefaultPlaceholder_-1854013440"/>
          </w:placeholder>
        </w:sdtPr>
        <w:sdtEndPr>
          <w:rPr>
            <w:rFonts w:eastAsia="Arial"/>
            <w:iCs/>
            <w:highlight w:val="none"/>
            <w:lang w:eastAsia="en-US"/>
          </w:rPr>
        </w:sdtEndPr>
        <w:sdtContent>
          <w:r w:rsidR="006B7452" w:rsidRPr="006B7452">
            <w:rPr>
              <w:rFonts w:asciiTheme="minorBidi" w:hAnsiTheme="minorBidi" w:cstheme="minorBidi"/>
              <w:sz w:val="32"/>
              <w:szCs w:val="32"/>
            </w:rPr>
            <w:t>XXXXXXXXXXXX</w:t>
          </w:r>
        </w:sdtContent>
      </w:sdt>
      <w:r w:rsidR="006B7452">
        <w:rPr>
          <w:rFonts w:asciiTheme="minorBidi" w:eastAsia="Arial" w:hAnsiTheme="minorBidi" w:cstheme="minorBidi"/>
          <w:iCs/>
          <w:sz w:val="32"/>
          <w:szCs w:val="32"/>
          <w:lang w:eastAsia="en-US"/>
        </w:rPr>
        <w:t xml:space="preserve">  </w:t>
      </w:r>
    </w:p>
    <w:p w14:paraId="434A14F7" w14:textId="1F512F5A" w:rsidR="005D600D" w:rsidRPr="007935D1" w:rsidRDefault="005D600D" w:rsidP="007935D1">
      <w:pPr>
        <w:jc w:val="center"/>
        <w:rPr>
          <w:rFonts w:asciiTheme="minorBidi" w:eastAsia="Arial" w:hAnsiTheme="minorBidi" w:cstheme="minorBidi"/>
          <w:iCs/>
          <w:spacing w:val="-4"/>
          <w:sz w:val="32"/>
          <w:szCs w:val="32"/>
          <w:lang w:eastAsia="en-US"/>
        </w:rPr>
      </w:pPr>
      <w:r w:rsidRPr="00A54A53">
        <w:rPr>
          <w:rFonts w:asciiTheme="minorBidi" w:eastAsia="Arial" w:hAnsiTheme="minorBidi" w:cstheme="minorBidi"/>
          <w:iCs/>
          <w:sz w:val="32"/>
          <w:szCs w:val="32"/>
          <w:lang w:eastAsia="en-US"/>
        </w:rPr>
        <w:t>IČO</w:t>
      </w:r>
      <w:r w:rsidRPr="00A54A53">
        <w:rPr>
          <w:rFonts w:asciiTheme="minorBidi" w:eastAsia="Arial" w:hAnsiTheme="minorBidi" w:cstheme="minorBidi"/>
          <w:iCs/>
          <w:spacing w:val="-13"/>
          <w:sz w:val="32"/>
          <w:szCs w:val="32"/>
          <w:lang w:eastAsia="en-US"/>
        </w:rPr>
        <w:t xml:space="preserve"> </w:t>
      </w:r>
      <w:r w:rsidRPr="00A54A53">
        <w:rPr>
          <w:rFonts w:asciiTheme="minorBidi" w:eastAsia="Arial" w:hAnsiTheme="minorBidi" w:cstheme="minorBidi"/>
          <w:iCs/>
          <w:sz w:val="32"/>
          <w:szCs w:val="32"/>
          <w:lang w:eastAsia="en-US"/>
        </w:rPr>
        <w:t>/</w:t>
      </w:r>
      <w:r w:rsidRPr="00A54A53">
        <w:rPr>
          <w:rFonts w:asciiTheme="minorBidi" w:eastAsia="Arial" w:hAnsiTheme="minorBidi" w:cstheme="minorBidi"/>
          <w:iCs/>
          <w:spacing w:val="-11"/>
          <w:sz w:val="32"/>
          <w:szCs w:val="32"/>
          <w:lang w:eastAsia="en-US"/>
        </w:rPr>
        <w:t xml:space="preserve"> </w:t>
      </w:r>
      <w:r w:rsidRPr="00A54A53">
        <w:rPr>
          <w:rFonts w:asciiTheme="minorBidi" w:eastAsia="Arial" w:hAnsiTheme="minorBidi" w:cstheme="minorBidi"/>
          <w:i/>
          <w:sz w:val="32"/>
          <w:szCs w:val="32"/>
          <w:lang w:eastAsia="en-US"/>
        </w:rPr>
        <w:t>Business</w:t>
      </w:r>
      <w:r w:rsidRPr="00A54A53">
        <w:rPr>
          <w:rFonts w:asciiTheme="minorBidi" w:eastAsia="Arial" w:hAnsiTheme="minorBidi" w:cstheme="minorBidi"/>
          <w:i/>
          <w:spacing w:val="-10"/>
          <w:sz w:val="32"/>
          <w:szCs w:val="32"/>
          <w:lang w:eastAsia="en-US"/>
        </w:rPr>
        <w:t xml:space="preserve"> </w:t>
      </w:r>
      <w:proofErr w:type="spellStart"/>
      <w:r w:rsidRPr="00A54A53">
        <w:rPr>
          <w:rFonts w:asciiTheme="minorBidi" w:eastAsia="Arial" w:hAnsiTheme="minorBidi" w:cstheme="minorBidi"/>
          <w:i/>
          <w:sz w:val="32"/>
          <w:szCs w:val="32"/>
          <w:lang w:eastAsia="en-US"/>
        </w:rPr>
        <w:t>Registration</w:t>
      </w:r>
      <w:proofErr w:type="spellEnd"/>
      <w:r w:rsidRPr="00A54A53">
        <w:rPr>
          <w:rFonts w:asciiTheme="minorBidi" w:eastAsia="Arial" w:hAnsiTheme="minorBidi" w:cstheme="minorBidi"/>
          <w:i/>
          <w:spacing w:val="-10"/>
          <w:sz w:val="32"/>
          <w:szCs w:val="32"/>
          <w:lang w:eastAsia="en-US"/>
        </w:rPr>
        <w:t xml:space="preserve"> </w:t>
      </w:r>
      <w:r w:rsidRPr="00A54A53">
        <w:rPr>
          <w:rFonts w:asciiTheme="minorBidi" w:eastAsia="Arial" w:hAnsiTheme="minorBidi" w:cstheme="minorBidi"/>
          <w:i/>
          <w:spacing w:val="-4"/>
          <w:sz w:val="32"/>
          <w:szCs w:val="32"/>
          <w:lang w:eastAsia="en-US"/>
        </w:rPr>
        <w:t>No.:</w:t>
      </w:r>
      <w:r w:rsidR="00930A4C">
        <w:rPr>
          <w:rFonts w:asciiTheme="minorBidi" w:eastAsia="Arial" w:hAnsiTheme="minorBidi" w:cstheme="minorBidi"/>
          <w:iCs/>
          <w:spacing w:val="-4"/>
          <w:sz w:val="32"/>
          <w:szCs w:val="32"/>
          <w:lang w:eastAsia="en-US"/>
        </w:rPr>
        <w:t xml:space="preserve"> </w:t>
      </w:r>
      <w:sdt>
        <w:sdtPr>
          <w:rPr>
            <w:rFonts w:asciiTheme="minorBidi" w:eastAsia="Arial" w:hAnsiTheme="minorBidi" w:cstheme="minorBidi"/>
            <w:iCs/>
            <w:spacing w:val="-4"/>
            <w:sz w:val="32"/>
            <w:szCs w:val="32"/>
            <w:lang w:eastAsia="en-US"/>
          </w:rPr>
          <w:id w:val="-1974211584"/>
          <w:placeholder>
            <w:docPart w:val="DefaultPlaceholder_-1854013440"/>
          </w:placeholder>
        </w:sdtPr>
        <w:sdtContent>
          <w:r w:rsidR="006B7452">
            <w:rPr>
              <w:rFonts w:asciiTheme="minorBidi" w:eastAsia="Arial" w:hAnsiTheme="minorBidi" w:cstheme="minorBidi"/>
              <w:iCs/>
              <w:spacing w:val="-4"/>
              <w:sz w:val="32"/>
              <w:szCs w:val="32"/>
              <w:lang w:eastAsia="en-US"/>
            </w:rPr>
            <w:t>XXXXXXXXX</w:t>
          </w:r>
        </w:sdtContent>
      </w:sdt>
    </w:p>
    <w:sdt>
      <w:sdtPr>
        <w:rPr>
          <w:rFonts w:asciiTheme="minorBidi" w:hAnsiTheme="minorBidi" w:cstheme="minorBidi"/>
          <w:color w:val="auto"/>
        </w:rPr>
        <w:id w:val="-1049449963"/>
        <w:placeholder>
          <w:docPart w:val="DefaultPlaceholder_-1854013440"/>
        </w:placeholder>
      </w:sdtPr>
      <w:sdtEndPr>
        <w:rPr>
          <w:rFonts w:ascii="Arial" w:hAnsi="Arial" w:cs="Arial"/>
        </w:rPr>
      </w:sdtEndPr>
      <w:sdtContent>
        <w:p w14:paraId="179BC982" w14:textId="5BB245A4" w:rsidR="007739E9" w:rsidRDefault="006B7452" w:rsidP="003B1A88">
          <w:pPr>
            <w:pStyle w:val="Default"/>
            <w:jc w:val="center"/>
            <w:rPr>
              <w:color w:val="auto"/>
            </w:rPr>
          </w:pPr>
          <w:r>
            <w:rPr>
              <w:rFonts w:asciiTheme="minorBidi" w:hAnsiTheme="minorBidi" w:cstheme="minorBidi"/>
              <w:color w:val="auto"/>
            </w:rPr>
            <w:t>XXXXXXXXXXXXXXXXXXXXXXXXXXXXXXXXXX</w:t>
          </w:r>
        </w:p>
      </w:sdtContent>
    </w:sdt>
    <w:p w14:paraId="1DBA00CB" w14:textId="77777777" w:rsidR="007739E9" w:rsidRDefault="007739E9" w:rsidP="00435926">
      <w:pPr>
        <w:pStyle w:val="Default"/>
        <w:rPr>
          <w:color w:val="auto"/>
        </w:rPr>
      </w:pPr>
    </w:p>
    <w:p w14:paraId="6B2EC16B" w14:textId="77777777" w:rsidR="007739E9" w:rsidRDefault="007739E9" w:rsidP="00435926">
      <w:pPr>
        <w:pStyle w:val="Default"/>
        <w:rPr>
          <w:color w:val="auto"/>
        </w:rPr>
      </w:pPr>
    </w:p>
    <w:p w14:paraId="1A8BECA0" w14:textId="77777777" w:rsidR="007739E9" w:rsidRDefault="007739E9" w:rsidP="00435926">
      <w:pPr>
        <w:pStyle w:val="Default"/>
        <w:rPr>
          <w:color w:val="auto"/>
        </w:rPr>
      </w:pPr>
    </w:p>
    <w:p w14:paraId="31E28296" w14:textId="77777777" w:rsidR="007739E9" w:rsidRDefault="007739E9" w:rsidP="00435926">
      <w:pPr>
        <w:pStyle w:val="Default"/>
        <w:rPr>
          <w:color w:val="auto"/>
        </w:rPr>
      </w:pPr>
    </w:p>
    <w:p w14:paraId="0DE35AFF" w14:textId="77777777" w:rsidR="007739E9" w:rsidRDefault="007739E9" w:rsidP="00435926">
      <w:pPr>
        <w:pStyle w:val="Default"/>
        <w:rPr>
          <w:color w:val="auto"/>
        </w:rPr>
      </w:pPr>
    </w:p>
    <w:p w14:paraId="4BF7993B" w14:textId="77777777" w:rsidR="007739E9" w:rsidRDefault="007739E9" w:rsidP="00435926">
      <w:pPr>
        <w:pStyle w:val="Default"/>
        <w:rPr>
          <w:color w:val="auto"/>
        </w:rPr>
      </w:pPr>
    </w:p>
    <w:p w14:paraId="031E20F1" w14:textId="77777777" w:rsidR="007739E9" w:rsidRDefault="007739E9" w:rsidP="00435926">
      <w:pPr>
        <w:pStyle w:val="Default"/>
        <w:rPr>
          <w:color w:val="auto"/>
        </w:rPr>
      </w:pPr>
    </w:p>
    <w:p w14:paraId="50044DBE" w14:textId="77777777" w:rsidR="007739E9" w:rsidRDefault="007739E9" w:rsidP="00435926">
      <w:pPr>
        <w:pStyle w:val="Default"/>
        <w:rPr>
          <w:color w:val="auto"/>
        </w:rPr>
      </w:pPr>
    </w:p>
    <w:p w14:paraId="65F5FBEE" w14:textId="77777777" w:rsidR="007739E9" w:rsidRDefault="007739E9" w:rsidP="00435926">
      <w:pPr>
        <w:pStyle w:val="Default"/>
        <w:rPr>
          <w:color w:val="auto"/>
        </w:rPr>
      </w:pPr>
    </w:p>
    <w:p w14:paraId="008E147F" w14:textId="77777777" w:rsidR="007739E9" w:rsidRPr="008D506F" w:rsidRDefault="007739E9" w:rsidP="00435926">
      <w:pPr>
        <w:pStyle w:val="Default"/>
        <w:rPr>
          <w:color w:val="auto"/>
        </w:rPr>
      </w:pPr>
    </w:p>
    <w:p w14:paraId="0ADC7D20" w14:textId="26A5E980" w:rsidR="002E6164" w:rsidRPr="008D506F" w:rsidRDefault="002E6164" w:rsidP="003C3770">
      <w:pPr>
        <w:pStyle w:val="CM8"/>
        <w:keepNext/>
        <w:widowControl/>
        <w:spacing w:before="360"/>
        <w:ind w:left="851" w:hanging="567"/>
        <w:jc w:val="both"/>
        <w:rPr>
          <w:i/>
          <w:iCs/>
          <w:sz w:val="32"/>
          <w:szCs w:val="32"/>
        </w:rPr>
      </w:pPr>
      <w:r w:rsidRPr="00177786">
        <w:rPr>
          <w:b/>
          <w:sz w:val="32"/>
        </w:rPr>
        <w:lastRenderedPageBreak/>
        <w:t>1.</w:t>
      </w:r>
      <w:r w:rsidR="003C3770" w:rsidRPr="00177786">
        <w:rPr>
          <w:b/>
          <w:sz w:val="32"/>
        </w:rPr>
        <w:tab/>
      </w:r>
      <w:r w:rsidRPr="00177786">
        <w:rPr>
          <w:b/>
          <w:sz w:val="32"/>
        </w:rPr>
        <w:t>Význam pojmov</w:t>
      </w:r>
      <w:r w:rsidR="003C3770" w:rsidRPr="00177786">
        <w:rPr>
          <w:b/>
          <w:sz w:val="32"/>
        </w:rPr>
        <w:br/>
      </w:r>
      <w:r w:rsidR="00AD4306" w:rsidRPr="008D506F">
        <w:rPr>
          <w:b/>
          <w:i/>
          <w:iCs/>
          <w:sz w:val="32"/>
        </w:rPr>
        <w:t>Definitions</w:t>
      </w:r>
    </w:p>
    <w:tbl>
      <w:tblPr>
        <w:tblStyle w:val="Mriekatabuky"/>
        <w:tblW w:w="10093" w:type="dxa"/>
        <w:tblInd w:w="108" w:type="dxa"/>
        <w:tblLook w:val="04A0" w:firstRow="1" w:lastRow="0" w:firstColumn="1" w:lastColumn="0" w:noHBand="0" w:noVBand="1"/>
      </w:tblPr>
      <w:tblGrid>
        <w:gridCol w:w="4498"/>
        <w:gridCol w:w="5595"/>
      </w:tblGrid>
      <w:tr w:rsidR="001C5DFF" w:rsidRPr="00177786" w14:paraId="13CA8817" w14:textId="77777777" w:rsidTr="00F52A90">
        <w:trPr>
          <w:cantSplit/>
          <w:tblHeader/>
        </w:trPr>
        <w:tc>
          <w:tcPr>
            <w:tcW w:w="4498" w:type="dxa"/>
          </w:tcPr>
          <w:p w14:paraId="47B8E8ED" w14:textId="77777777" w:rsidR="00AC2148" w:rsidRPr="00177786" w:rsidRDefault="00AC2148" w:rsidP="00322897">
            <w:pPr>
              <w:spacing w:after="120"/>
              <w:jc w:val="both"/>
              <w:rPr>
                <w:rFonts w:ascii="Arial" w:hAnsi="Arial" w:cs="Arial"/>
                <w:b/>
                <w:sz w:val="20"/>
                <w:szCs w:val="20"/>
              </w:rPr>
            </w:pPr>
            <w:r w:rsidRPr="00177786">
              <w:rPr>
                <w:rFonts w:ascii="Arial" w:hAnsi="Arial"/>
                <w:b/>
                <w:sz w:val="20"/>
              </w:rPr>
              <w:t>Pojem</w:t>
            </w:r>
          </w:p>
        </w:tc>
        <w:tc>
          <w:tcPr>
            <w:tcW w:w="5595" w:type="dxa"/>
          </w:tcPr>
          <w:p w14:paraId="1BCC9DB2" w14:textId="77777777" w:rsidR="00AC2148" w:rsidRPr="00177786" w:rsidRDefault="00AC2148" w:rsidP="00322897">
            <w:pPr>
              <w:spacing w:after="120"/>
              <w:jc w:val="both"/>
              <w:rPr>
                <w:rFonts w:ascii="Arial" w:hAnsi="Arial" w:cs="Arial"/>
                <w:b/>
                <w:sz w:val="20"/>
                <w:szCs w:val="20"/>
              </w:rPr>
            </w:pPr>
            <w:r w:rsidRPr="00177786">
              <w:rPr>
                <w:rFonts w:ascii="Arial" w:hAnsi="Arial"/>
                <w:b/>
                <w:sz w:val="20"/>
              </w:rPr>
              <w:t>Význam</w:t>
            </w:r>
          </w:p>
        </w:tc>
      </w:tr>
      <w:tr w:rsidR="001C5DFF" w:rsidRPr="00177786" w14:paraId="060ECD0D" w14:textId="77777777" w:rsidTr="00F52A90">
        <w:trPr>
          <w:cantSplit/>
          <w:trHeight w:val="20"/>
        </w:trPr>
        <w:tc>
          <w:tcPr>
            <w:tcW w:w="4498" w:type="dxa"/>
          </w:tcPr>
          <w:p w14:paraId="44FDB8E7" w14:textId="40CA860C" w:rsidR="00AC2148" w:rsidRPr="00177786" w:rsidRDefault="00AC2148" w:rsidP="00322897">
            <w:pPr>
              <w:spacing w:after="120"/>
              <w:jc w:val="both"/>
              <w:rPr>
                <w:rFonts w:ascii="Arial" w:hAnsi="Arial"/>
                <w:sz w:val="20"/>
              </w:rPr>
            </w:pPr>
            <w:r w:rsidRPr="00177786">
              <w:rPr>
                <w:rFonts w:ascii="Arial" w:hAnsi="Arial"/>
                <w:sz w:val="20"/>
              </w:rPr>
              <w:t>Komunikačn</w:t>
            </w:r>
            <w:r w:rsidR="00FD4939">
              <w:rPr>
                <w:rFonts w:ascii="Arial" w:hAnsi="Arial"/>
                <w:sz w:val="20"/>
              </w:rPr>
              <w:t xml:space="preserve">ý Hub </w:t>
            </w:r>
            <w:r w:rsidRPr="00177786">
              <w:rPr>
                <w:rFonts w:ascii="Arial" w:hAnsi="Arial"/>
                <w:sz w:val="20"/>
              </w:rPr>
              <w:t>AIB alebo „</w:t>
            </w:r>
            <w:r w:rsidR="00FD4939">
              <w:rPr>
                <w:rFonts w:ascii="Arial" w:hAnsi="Arial"/>
                <w:sz w:val="20"/>
              </w:rPr>
              <w:t>Hub</w:t>
            </w:r>
            <w:r w:rsidRPr="00177786">
              <w:rPr>
                <w:rFonts w:ascii="Arial" w:hAnsi="Arial"/>
                <w:sz w:val="20"/>
              </w:rPr>
              <w:t>“</w:t>
            </w:r>
          </w:p>
          <w:p w14:paraId="5BD38656" w14:textId="00A689D2" w:rsidR="00547914" w:rsidRPr="008D506F" w:rsidRDefault="00547914" w:rsidP="00322897">
            <w:pPr>
              <w:spacing w:after="120"/>
              <w:jc w:val="both"/>
              <w:rPr>
                <w:rFonts w:ascii="Arial" w:hAnsi="Arial" w:cs="Arial"/>
                <w:i/>
                <w:iCs/>
                <w:sz w:val="20"/>
                <w:szCs w:val="20"/>
              </w:rPr>
            </w:pPr>
            <w:r w:rsidRPr="008D506F">
              <w:rPr>
                <w:rFonts w:ascii="Arial" w:hAnsi="Arial" w:cs="Arial"/>
                <w:i/>
                <w:iCs/>
                <w:sz w:val="20"/>
                <w:szCs w:val="20"/>
              </w:rPr>
              <w:t>AIB Communications Hub or “Hub”</w:t>
            </w:r>
          </w:p>
        </w:tc>
        <w:tc>
          <w:tcPr>
            <w:tcW w:w="5595" w:type="dxa"/>
          </w:tcPr>
          <w:p w14:paraId="017E5376" w14:textId="3485534D" w:rsidR="00AC2148" w:rsidRPr="00177786" w:rsidRDefault="00AC2148" w:rsidP="0018622C">
            <w:pPr>
              <w:spacing w:after="120"/>
              <w:jc w:val="both"/>
              <w:rPr>
                <w:rFonts w:ascii="Arial" w:hAnsi="Arial"/>
                <w:sz w:val="20"/>
              </w:rPr>
            </w:pPr>
            <w:r w:rsidRPr="00177786">
              <w:rPr>
                <w:rFonts w:ascii="Arial" w:hAnsi="Arial"/>
                <w:sz w:val="20"/>
              </w:rPr>
              <w:t xml:space="preserve">Komerčná webová stránka prevádzkovaná v mene AIB, ktorá poskytuje koordinačné a synchronizačné služby, distribuuje správy a potvrdenia medzi registrami používateľov komunikačného </w:t>
            </w:r>
            <w:r w:rsidR="002E22D2">
              <w:rPr>
                <w:rFonts w:ascii="Arial" w:hAnsi="Arial"/>
                <w:sz w:val="20"/>
              </w:rPr>
              <w:t>Hubu</w:t>
            </w:r>
            <w:r w:rsidRPr="00177786">
              <w:rPr>
                <w:rFonts w:ascii="Arial" w:hAnsi="Arial"/>
                <w:sz w:val="20"/>
              </w:rPr>
              <w:t xml:space="preserve">. </w:t>
            </w:r>
            <w:r w:rsidR="00253204" w:rsidRPr="00177786">
              <w:rPr>
                <w:rFonts w:ascii="Arial" w:hAnsi="Arial"/>
                <w:sz w:val="20"/>
              </w:rPr>
              <w:t xml:space="preserve">Podrobná definícia </w:t>
            </w:r>
            <w:r w:rsidRPr="00177786">
              <w:rPr>
                <w:rFonts w:ascii="Arial" w:hAnsi="Arial"/>
                <w:sz w:val="20"/>
              </w:rPr>
              <w:t xml:space="preserve">tejto platformy </w:t>
            </w:r>
            <w:r w:rsidR="00253204" w:rsidRPr="00177786">
              <w:rPr>
                <w:rFonts w:ascii="Arial" w:hAnsi="Arial"/>
                <w:sz w:val="20"/>
              </w:rPr>
              <w:t xml:space="preserve">sa nachádza </w:t>
            </w:r>
            <w:r w:rsidRPr="00177786">
              <w:rPr>
                <w:rFonts w:ascii="Arial" w:hAnsi="Arial"/>
                <w:sz w:val="20"/>
              </w:rPr>
              <w:t>v dokumente HubCom.</w:t>
            </w:r>
          </w:p>
          <w:p w14:paraId="5CD582FB" w14:textId="3DEF6F46" w:rsidR="001D7F32" w:rsidRPr="00177786" w:rsidRDefault="00211D3D" w:rsidP="0018622C">
            <w:pPr>
              <w:spacing w:after="120"/>
              <w:jc w:val="both"/>
              <w:rPr>
                <w:rFonts w:ascii="Arial" w:hAnsi="Arial" w:cs="Arial"/>
                <w:i/>
                <w:iCs/>
                <w:sz w:val="20"/>
                <w:szCs w:val="20"/>
              </w:rPr>
            </w:pPr>
            <w:r w:rsidRPr="008D506F">
              <w:rPr>
                <w:rFonts w:ascii="Arial" w:hAnsi="Arial" w:cs="Arial"/>
                <w:i/>
                <w:iCs/>
                <w:sz w:val="20"/>
                <w:szCs w:val="20"/>
              </w:rPr>
              <w:t>A commercial website operated on behalf of AIB which provides coordination and synchronisation services, distributing messages and acknowledgements between the registries of Hub users. The Hub is defined in detail in Document HubCom</w:t>
            </w:r>
            <w:r w:rsidRPr="00177786">
              <w:rPr>
                <w:rFonts w:ascii="Arial" w:hAnsi="Arial" w:cs="Arial"/>
                <w:i/>
                <w:iCs/>
                <w:sz w:val="20"/>
                <w:szCs w:val="20"/>
              </w:rPr>
              <w:t>;</w:t>
            </w:r>
          </w:p>
        </w:tc>
      </w:tr>
      <w:tr w:rsidR="001C5DFF" w:rsidRPr="00177786" w14:paraId="70328C8D" w14:textId="77777777" w:rsidTr="00F52A90">
        <w:trPr>
          <w:cantSplit/>
          <w:trHeight w:val="20"/>
        </w:trPr>
        <w:tc>
          <w:tcPr>
            <w:tcW w:w="4498" w:type="dxa"/>
          </w:tcPr>
          <w:p w14:paraId="56918AF8" w14:textId="77777777" w:rsidR="00AC2148" w:rsidRPr="00177786" w:rsidRDefault="00AC2148" w:rsidP="00322897">
            <w:pPr>
              <w:spacing w:after="120"/>
              <w:jc w:val="both"/>
              <w:rPr>
                <w:rFonts w:ascii="Arial" w:hAnsi="Arial"/>
                <w:sz w:val="20"/>
              </w:rPr>
            </w:pPr>
            <w:r w:rsidRPr="00177786">
              <w:rPr>
                <w:rFonts w:ascii="Arial" w:hAnsi="Arial"/>
                <w:sz w:val="20"/>
              </w:rPr>
              <w:t>Združenie vydávajúcich orgánov alebo „AIB“</w:t>
            </w:r>
          </w:p>
          <w:p w14:paraId="00DD147D" w14:textId="2F659038" w:rsidR="008B701F" w:rsidRPr="00177786" w:rsidRDefault="008B701F" w:rsidP="00322897">
            <w:pPr>
              <w:spacing w:after="120"/>
              <w:jc w:val="both"/>
              <w:rPr>
                <w:rFonts w:ascii="Arial" w:hAnsi="Arial" w:cs="Arial"/>
                <w:i/>
                <w:iCs/>
                <w:sz w:val="20"/>
                <w:szCs w:val="20"/>
              </w:rPr>
            </w:pPr>
            <w:r w:rsidRPr="008D506F">
              <w:rPr>
                <w:rFonts w:ascii="Arial" w:hAnsi="Arial" w:cs="Arial"/>
                <w:i/>
                <w:iCs/>
                <w:sz w:val="20"/>
                <w:szCs w:val="20"/>
              </w:rPr>
              <w:t>Association of Issuing Bodies or “AIB</w:t>
            </w:r>
            <w:r w:rsidRPr="00177786">
              <w:rPr>
                <w:rFonts w:ascii="Arial" w:hAnsi="Arial" w:cs="Arial"/>
                <w:i/>
                <w:iCs/>
                <w:sz w:val="20"/>
                <w:szCs w:val="20"/>
              </w:rPr>
              <w:t>”</w:t>
            </w:r>
          </w:p>
        </w:tc>
        <w:tc>
          <w:tcPr>
            <w:tcW w:w="5595" w:type="dxa"/>
          </w:tcPr>
          <w:p w14:paraId="780794D3" w14:textId="5DE7E640" w:rsidR="00AC2148" w:rsidRPr="00177786" w:rsidRDefault="00AC2148" w:rsidP="00322897">
            <w:pPr>
              <w:spacing w:after="120"/>
              <w:jc w:val="both"/>
              <w:rPr>
                <w:rFonts w:ascii="Arial" w:hAnsi="Arial"/>
                <w:sz w:val="20"/>
              </w:rPr>
            </w:pPr>
            <w:r w:rsidRPr="00177786">
              <w:rPr>
                <w:rFonts w:ascii="Arial" w:hAnsi="Arial"/>
                <w:sz w:val="20"/>
              </w:rPr>
              <w:t xml:space="preserve">Medzinárodné vedecké združenie zriadené v súlade so zákonom Belgického kráľovstva z 25. októbra 1921 (v znení neskorších predpisov) pod číslom 0.864.645.330 </w:t>
            </w:r>
            <w:r w:rsidR="00237E71" w:rsidRPr="00177786">
              <w:rPr>
                <w:rFonts w:ascii="Arial" w:hAnsi="Arial"/>
                <w:sz w:val="20"/>
              </w:rPr>
              <w:t xml:space="preserve">a </w:t>
            </w:r>
            <w:r w:rsidRPr="00177786">
              <w:rPr>
                <w:rFonts w:ascii="Arial" w:hAnsi="Arial"/>
                <w:sz w:val="20"/>
              </w:rPr>
              <w:t>pod názvom „Združenie vydávajúcich orgánov“;</w:t>
            </w:r>
          </w:p>
          <w:p w14:paraId="3C67ABB1" w14:textId="45539E49" w:rsidR="00F006A9" w:rsidRPr="008D506F" w:rsidRDefault="00F006A9" w:rsidP="00253204">
            <w:pPr>
              <w:spacing w:after="120"/>
              <w:jc w:val="both"/>
              <w:rPr>
                <w:rFonts w:ascii="Arial" w:hAnsi="Arial" w:cs="Arial"/>
                <w:i/>
                <w:iCs/>
                <w:sz w:val="20"/>
                <w:szCs w:val="20"/>
              </w:rPr>
            </w:pPr>
            <w:r w:rsidRPr="008D506F">
              <w:rPr>
                <w:rFonts w:ascii="Arial" w:hAnsi="Arial" w:cs="Arial"/>
                <w:i/>
                <w:iCs/>
                <w:sz w:val="20"/>
                <w:szCs w:val="20"/>
              </w:rPr>
              <w:t>An international scientific association constituted in accordance with the Belgian law of 25 October 1921 (as amended), under nr. 0.864.645.330, under the name of “Association of Issuing Bodies”;</w:t>
            </w:r>
          </w:p>
        </w:tc>
      </w:tr>
      <w:tr w:rsidR="001C5DFF" w:rsidRPr="00177786" w14:paraId="7C2C3972" w14:textId="77777777" w:rsidTr="00F52A90">
        <w:trPr>
          <w:cantSplit/>
          <w:trHeight w:val="20"/>
        </w:trPr>
        <w:tc>
          <w:tcPr>
            <w:tcW w:w="4498" w:type="dxa"/>
          </w:tcPr>
          <w:p w14:paraId="38D58B7C" w14:textId="77777777" w:rsidR="00AC2148" w:rsidRPr="00177786" w:rsidRDefault="00AC2148" w:rsidP="00322897">
            <w:pPr>
              <w:spacing w:after="120"/>
              <w:jc w:val="both"/>
              <w:rPr>
                <w:rFonts w:ascii="Arial" w:hAnsi="Arial"/>
                <w:sz w:val="20"/>
              </w:rPr>
            </w:pPr>
            <w:r w:rsidRPr="00177786">
              <w:rPr>
                <w:rFonts w:ascii="Arial" w:hAnsi="Arial"/>
                <w:sz w:val="20"/>
              </w:rPr>
              <w:t>Certifikát</w:t>
            </w:r>
          </w:p>
          <w:p w14:paraId="5E46EE10" w14:textId="676DFE55" w:rsidR="008C1F87" w:rsidRPr="008D506F" w:rsidRDefault="008C1F87" w:rsidP="00322897">
            <w:pPr>
              <w:spacing w:after="120"/>
              <w:jc w:val="both"/>
              <w:rPr>
                <w:rFonts w:ascii="Arial" w:hAnsi="Arial" w:cs="Arial"/>
                <w:i/>
                <w:iCs/>
                <w:sz w:val="20"/>
                <w:szCs w:val="20"/>
              </w:rPr>
            </w:pPr>
            <w:r w:rsidRPr="008D506F">
              <w:rPr>
                <w:rFonts w:ascii="Arial" w:hAnsi="Arial" w:cs="Arial"/>
                <w:i/>
                <w:iCs/>
                <w:sz w:val="20"/>
                <w:szCs w:val="20"/>
              </w:rPr>
              <w:t>Certificate</w:t>
            </w:r>
          </w:p>
        </w:tc>
        <w:tc>
          <w:tcPr>
            <w:tcW w:w="5595" w:type="dxa"/>
          </w:tcPr>
          <w:p w14:paraId="6227CAEE" w14:textId="77777777" w:rsidR="00EB7700" w:rsidRPr="00177786" w:rsidRDefault="00EB7700" w:rsidP="00322897">
            <w:pPr>
              <w:spacing w:after="120"/>
              <w:jc w:val="both"/>
              <w:rPr>
                <w:rFonts w:ascii="Arial" w:hAnsi="Arial" w:cs="Arial"/>
                <w:sz w:val="20"/>
                <w:szCs w:val="20"/>
              </w:rPr>
            </w:pPr>
            <w:r w:rsidRPr="00177786">
              <w:rPr>
                <w:rFonts w:ascii="Arial" w:hAnsi="Arial"/>
                <w:sz w:val="20"/>
              </w:rPr>
              <w:t>Osvedčenie, záznam alebo záruka (v akejkoľvek forme vrátane elektronickej) na:</w:t>
            </w:r>
          </w:p>
          <w:p w14:paraId="2BA0F49D" w14:textId="77777777" w:rsidR="00EB7700" w:rsidRPr="00177786" w:rsidRDefault="00EB7700" w:rsidP="00322897">
            <w:pPr>
              <w:spacing w:after="120"/>
              <w:jc w:val="both"/>
              <w:rPr>
                <w:rFonts w:ascii="Arial" w:hAnsi="Arial" w:cs="Arial"/>
                <w:sz w:val="20"/>
                <w:szCs w:val="20"/>
              </w:rPr>
            </w:pPr>
            <w:r w:rsidRPr="00177786">
              <w:rPr>
                <w:rFonts w:ascii="Arial" w:hAnsi="Arial"/>
                <w:sz w:val="20"/>
              </w:rPr>
              <w:t>(a) vlastnosti vstupov spotrebovaných pri výrobe určitého množstva výstupov a/alebo</w:t>
            </w:r>
          </w:p>
          <w:p w14:paraId="545146A6" w14:textId="77777777" w:rsidR="00AC2148" w:rsidRPr="00177786" w:rsidRDefault="00EB7700" w:rsidP="00435926">
            <w:pPr>
              <w:spacing w:after="120"/>
              <w:jc w:val="both"/>
              <w:rPr>
                <w:rFonts w:ascii="Arial" w:hAnsi="Arial"/>
                <w:sz w:val="20"/>
              </w:rPr>
            </w:pPr>
            <w:r w:rsidRPr="00177786">
              <w:rPr>
                <w:rFonts w:ascii="Arial" w:hAnsi="Arial"/>
                <w:sz w:val="20"/>
              </w:rPr>
              <w:t>(b) vlastnosti metódy a kvality výroby určitého množstva výstupov.</w:t>
            </w:r>
          </w:p>
          <w:p w14:paraId="1D819E32" w14:textId="77777777" w:rsidR="00FB3EA7" w:rsidRPr="008D506F" w:rsidRDefault="00FB3EA7" w:rsidP="00FB3EA7">
            <w:pPr>
              <w:spacing w:after="120"/>
              <w:jc w:val="both"/>
              <w:rPr>
                <w:rFonts w:ascii="Arial" w:hAnsi="Arial" w:cs="Arial"/>
                <w:i/>
                <w:sz w:val="20"/>
                <w:szCs w:val="20"/>
              </w:rPr>
            </w:pPr>
            <w:r w:rsidRPr="008D506F">
              <w:rPr>
                <w:rFonts w:ascii="Arial" w:hAnsi="Arial" w:cs="Arial"/>
                <w:i/>
                <w:sz w:val="20"/>
                <w:szCs w:val="20"/>
              </w:rPr>
              <w:t>A certificate, record or guarantee (in any form including an electronic form) in relation to:</w:t>
            </w:r>
          </w:p>
          <w:p w14:paraId="109EA475" w14:textId="77777777" w:rsidR="00FB3EA7" w:rsidRPr="008D506F" w:rsidRDefault="00FB3EA7" w:rsidP="00FB3EA7">
            <w:pPr>
              <w:spacing w:after="120"/>
              <w:jc w:val="both"/>
              <w:rPr>
                <w:rFonts w:ascii="Arial" w:hAnsi="Arial" w:cs="Arial"/>
                <w:i/>
                <w:sz w:val="20"/>
                <w:szCs w:val="20"/>
              </w:rPr>
            </w:pPr>
            <w:r w:rsidRPr="008D506F">
              <w:rPr>
                <w:rFonts w:ascii="Arial" w:hAnsi="Arial" w:cs="Arial"/>
                <w:i/>
                <w:sz w:val="20"/>
                <w:szCs w:val="20"/>
              </w:rPr>
              <w:t>(a) attributes of the Input consumed in the production of a quantity of Output, and/or</w:t>
            </w:r>
          </w:p>
          <w:p w14:paraId="58D4F0F1" w14:textId="3117CA23" w:rsidR="00FB3EA7" w:rsidRPr="00177786" w:rsidRDefault="00FB3EA7" w:rsidP="00FB3EA7">
            <w:pPr>
              <w:spacing w:after="120"/>
              <w:jc w:val="both"/>
              <w:rPr>
                <w:rFonts w:ascii="Arial" w:hAnsi="Arial" w:cs="Arial"/>
                <w:i/>
                <w:sz w:val="20"/>
                <w:szCs w:val="20"/>
              </w:rPr>
            </w:pPr>
            <w:r w:rsidRPr="008D506F">
              <w:rPr>
                <w:rFonts w:ascii="Arial" w:hAnsi="Arial" w:cs="Arial"/>
                <w:i/>
                <w:sz w:val="20"/>
                <w:szCs w:val="20"/>
              </w:rPr>
              <w:t>(b) attributes of the method and quality of the production of a quantity of Output;</w:t>
            </w:r>
          </w:p>
        </w:tc>
      </w:tr>
      <w:tr w:rsidR="001C5DFF" w:rsidRPr="00177786" w14:paraId="51DF51FC" w14:textId="77777777" w:rsidTr="00F52A90">
        <w:trPr>
          <w:cantSplit/>
          <w:trHeight w:val="20"/>
        </w:trPr>
        <w:tc>
          <w:tcPr>
            <w:tcW w:w="4498" w:type="dxa"/>
          </w:tcPr>
          <w:p w14:paraId="2F3EEF74" w14:textId="276D593B" w:rsidR="00AC2148" w:rsidRPr="00177786" w:rsidRDefault="00AC2148" w:rsidP="00322897">
            <w:pPr>
              <w:spacing w:after="120"/>
              <w:jc w:val="both"/>
              <w:rPr>
                <w:rFonts w:ascii="Arial" w:hAnsi="Arial"/>
                <w:sz w:val="20"/>
              </w:rPr>
            </w:pPr>
            <w:r w:rsidRPr="00177786">
              <w:rPr>
                <w:rFonts w:ascii="Arial" w:hAnsi="Arial"/>
                <w:sz w:val="20"/>
              </w:rPr>
              <w:t>Certifikačn</w:t>
            </w:r>
            <w:r w:rsidR="002E22D2">
              <w:rPr>
                <w:rFonts w:ascii="Arial" w:hAnsi="Arial"/>
                <w:sz w:val="20"/>
              </w:rPr>
              <w:t>á</w:t>
            </w:r>
            <w:r w:rsidRPr="00177786">
              <w:rPr>
                <w:rFonts w:ascii="Arial" w:hAnsi="Arial"/>
                <w:sz w:val="20"/>
              </w:rPr>
              <w:t xml:space="preserve"> </w:t>
            </w:r>
            <w:r w:rsidR="002E22D2">
              <w:rPr>
                <w:rFonts w:ascii="Arial" w:hAnsi="Arial"/>
                <w:sz w:val="20"/>
              </w:rPr>
              <w:t>schéma</w:t>
            </w:r>
          </w:p>
          <w:p w14:paraId="47A4B9D5" w14:textId="4324608F" w:rsidR="00AE5164" w:rsidRPr="008D506F" w:rsidRDefault="00AE5164" w:rsidP="00AE5164">
            <w:pPr>
              <w:spacing w:after="120"/>
              <w:jc w:val="both"/>
              <w:rPr>
                <w:rFonts w:ascii="Arial" w:hAnsi="Arial" w:cs="Arial"/>
                <w:i/>
                <w:iCs/>
                <w:sz w:val="20"/>
                <w:szCs w:val="20"/>
              </w:rPr>
            </w:pPr>
            <w:r w:rsidRPr="008D506F">
              <w:rPr>
                <w:rFonts w:ascii="Arial" w:hAnsi="Arial" w:cs="Arial"/>
                <w:i/>
                <w:iCs/>
                <w:sz w:val="20"/>
                <w:szCs w:val="20"/>
              </w:rPr>
              <w:t>Certification Scheme</w:t>
            </w:r>
          </w:p>
        </w:tc>
        <w:tc>
          <w:tcPr>
            <w:tcW w:w="5595" w:type="dxa"/>
          </w:tcPr>
          <w:p w14:paraId="0416814B" w14:textId="74D79246" w:rsidR="0018622C" w:rsidRPr="00177786" w:rsidRDefault="00AC2148" w:rsidP="00AA249A">
            <w:pPr>
              <w:spacing w:after="120"/>
              <w:jc w:val="both"/>
              <w:rPr>
                <w:rFonts w:ascii="Arial" w:hAnsi="Arial" w:cs="Arial"/>
                <w:i/>
                <w:sz w:val="20"/>
                <w:szCs w:val="20"/>
              </w:rPr>
            </w:pPr>
            <w:r w:rsidRPr="00177786">
              <w:rPr>
                <w:rFonts w:ascii="Arial" w:hAnsi="Arial"/>
                <w:sz w:val="20"/>
              </w:rPr>
              <w:t xml:space="preserve">Legislatívny, administratívny </w:t>
            </w:r>
            <w:r w:rsidR="00253204" w:rsidRPr="00177786">
              <w:rPr>
                <w:rFonts w:ascii="Arial" w:hAnsi="Arial"/>
                <w:sz w:val="20"/>
              </w:rPr>
              <w:t>a/</w:t>
            </w:r>
            <w:r w:rsidRPr="00177786">
              <w:rPr>
                <w:rFonts w:ascii="Arial" w:hAnsi="Arial"/>
                <w:sz w:val="20"/>
              </w:rPr>
              <w:t>alebo zmluvný</w:t>
            </w:r>
            <w:r w:rsidR="00AA249A" w:rsidRPr="00177786">
              <w:rPr>
                <w:rFonts w:ascii="Arial" w:hAnsi="Arial"/>
                <w:sz w:val="20"/>
              </w:rPr>
              <w:t xml:space="preserve"> </w:t>
            </w:r>
            <w:r w:rsidRPr="00177786">
              <w:rPr>
                <w:rFonts w:ascii="Arial" w:hAnsi="Arial"/>
                <w:sz w:val="20"/>
              </w:rPr>
              <w:t>rámec, ktorým sa zavádza systém certifikátov.</w:t>
            </w:r>
          </w:p>
          <w:p w14:paraId="3841DD9B" w14:textId="6DD2F3DA" w:rsidR="00AC2148" w:rsidRPr="008D506F" w:rsidRDefault="00AA249A" w:rsidP="00AA249A">
            <w:pPr>
              <w:rPr>
                <w:rFonts w:ascii="Arial" w:hAnsi="Arial" w:cs="Arial"/>
                <w:i/>
                <w:iCs/>
                <w:sz w:val="20"/>
                <w:szCs w:val="20"/>
                <w:lang w:eastAsia="en-US"/>
              </w:rPr>
            </w:pPr>
            <w:r w:rsidRPr="008D506F">
              <w:rPr>
                <w:rFonts w:ascii="Arial" w:hAnsi="Arial" w:cs="Arial"/>
                <w:i/>
                <w:iCs/>
                <w:sz w:val="20"/>
                <w:szCs w:val="20"/>
                <w:lang w:eastAsia="en-US"/>
              </w:rPr>
              <w:t>A legislative, administrative and/or contractual framework establishing a system of Certificates;</w:t>
            </w:r>
          </w:p>
        </w:tc>
      </w:tr>
      <w:tr w:rsidR="001C5DFF" w:rsidRPr="00177786" w14:paraId="13370F22" w14:textId="77777777" w:rsidTr="00F52A90">
        <w:trPr>
          <w:cantSplit/>
          <w:trHeight w:val="20"/>
        </w:trPr>
        <w:tc>
          <w:tcPr>
            <w:tcW w:w="4498" w:type="dxa"/>
          </w:tcPr>
          <w:p w14:paraId="23A8EADC" w14:textId="77777777" w:rsidR="00AC2148" w:rsidRPr="00177786" w:rsidRDefault="00AC2148" w:rsidP="00322897">
            <w:pPr>
              <w:spacing w:after="120"/>
              <w:jc w:val="both"/>
              <w:rPr>
                <w:rFonts w:ascii="Arial" w:hAnsi="Arial"/>
                <w:sz w:val="20"/>
              </w:rPr>
            </w:pPr>
            <w:r w:rsidRPr="00177786">
              <w:rPr>
                <w:rFonts w:ascii="Arial" w:hAnsi="Arial"/>
                <w:sz w:val="20"/>
              </w:rPr>
              <w:lastRenderedPageBreak/>
              <w:t>Zodpovedný orgán</w:t>
            </w:r>
          </w:p>
          <w:p w14:paraId="7F58FFBE" w14:textId="46131509" w:rsidR="00C71426" w:rsidRPr="008D506F" w:rsidRDefault="00C71426" w:rsidP="00322897">
            <w:pPr>
              <w:spacing w:after="120"/>
              <w:jc w:val="both"/>
              <w:rPr>
                <w:rFonts w:ascii="Arial" w:hAnsi="Arial" w:cs="Arial"/>
                <w:i/>
                <w:iCs/>
                <w:sz w:val="20"/>
                <w:szCs w:val="20"/>
              </w:rPr>
            </w:pPr>
            <w:r w:rsidRPr="008D506F">
              <w:rPr>
                <w:rFonts w:ascii="Arial" w:hAnsi="Arial" w:cs="Arial"/>
                <w:i/>
                <w:iCs/>
                <w:sz w:val="20"/>
                <w:szCs w:val="20"/>
              </w:rPr>
              <w:t>Competent Body</w:t>
            </w:r>
          </w:p>
        </w:tc>
        <w:tc>
          <w:tcPr>
            <w:tcW w:w="5595" w:type="dxa"/>
          </w:tcPr>
          <w:p w14:paraId="3A3D8D1A" w14:textId="77777777" w:rsidR="00AC2148" w:rsidRPr="00177786" w:rsidRDefault="00AC2148" w:rsidP="00322897">
            <w:pPr>
              <w:spacing w:after="120"/>
              <w:jc w:val="both"/>
              <w:rPr>
                <w:rFonts w:ascii="Arial" w:hAnsi="Arial"/>
                <w:sz w:val="20"/>
              </w:rPr>
            </w:pPr>
            <w:r w:rsidRPr="00177786">
              <w:rPr>
                <w:rFonts w:ascii="Arial" w:hAnsi="Arial"/>
                <w:sz w:val="20"/>
              </w:rPr>
              <w:t>Orgán riadne oprávnený na výkon alebo plnenie akejkoľvek legislatívnej, vládnej, regulačnej alebo správnej funkcie vo vzťahu k akejkoľvek doméne podľa zákonov a iných právnych predpisov štátu (prípadne regiónu), v ktorom sa takáto doména nachádza, alebo orgán riadne oprávnený štátom podľa príslušného legislatívneho certifikačného systému na vydanie akejkoľvek záruky pôvodu alebo podporného certifikátu.</w:t>
            </w:r>
          </w:p>
          <w:p w14:paraId="14581C01" w14:textId="7CE2F08A" w:rsidR="009B07B6" w:rsidRPr="008D506F" w:rsidRDefault="009B07B6" w:rsidP="00322897">
            <w:pPr>
              <w:spacing w:after="120"/>
              <w:jc w:val="both"/>
              <w:rPr>
                <w:rFonts w:ascii="Arial" w:hAnsi="Arial" w:cs="Arial"/>
                <w:i/>
                <w:iCs/>
                <w:sz w:val="20"/>
                <w:szCs w:val="20"/>
              </w:rPr>
            </w:pPr>
            <w:r w:rsidRPr="008D506F">
              <w:rPr>
                <w:rFonts w:ascii="Arial" w:hAnsi="Arial" w:cs="Arial"/>
                <w:i/>
                <w:iCs/>
                <w:sz w:val="20"/>
                <w:szCs w:val="20"/>
              </w:rPr>
              <w:t>In relation to the exercise or discharge of any legislative, governmental, regulatory or administrative function with respect to any Domain, the body duly authorised under the laws and regulations of the state (and, as the case may be, region) in which such Domain is situated to exercise or discharge that function, and, in relation to any Guarantee of Origin or Support Certificate the body duly authorised by the State under the relevant Legislative Certification Scheme to issue that Guarantee of Origin;</w:t>
            </w:r>
          </w:p>
        </w:tc>
      </w:tr>
      <w:tr w:rsidR="001C5DFF" w:rsidRPr="00177786" w14:paraId="2FFC29F2" w14:textId="77777777" w:rsidTr="00F52A90">
        <w:trPr>
          <w:cantSplit/>
          <w:trHeight w:val="20"/>
        </w:trPr>
        <w:tc>
          <w:tcPr>
            <w:tcW w:w="4498" w:type="dxa"/>
          </w:tcPr>
          <w:p w14:paraId="6CD98C06" w14:textId="77777777" w:rsidR="00AC2148" w:rsidRPr="00177786" w:rsidRDefault="00AC2148" w:rsidP="00322897">
            <w:pPr>
              <w:spacing w:after="120"/>
              <w:jc w:val="both"/>
              <w:rPr>
                <w:rFonts w:ascii="Arial" w:hAnsi="Arial"/>
                <w:sz w:val="20"/>
              </w:rPr>
            </w:pPr>
            <w:r w:rsidRPr="00177786">
              <w:rPr>
                <w:rFonts w:ascii="Arial" w:hAnsi="Arial"/>
                <w:sz w:val="20"/>
              </w:rPr>
              <w:t>Dátový protokol</w:t>
            </w:r>
          </w:p>
          <w:p w14:paraId="424C4ABE" w14:textId="053F9AC4" w:rsidR="00A7005F" w:rsidRPr="008D506F" w:rsidRDefault="00A7005F" w:rsidP="00322897">
            <w:pPr>
              <w:spacing w:after="120"/>
              <w:jc w:val="both"/>
              <w:rPr>
                <w:rFonts w:ascii="Arial" w:hAnsi="Arial" w:cs="Arial"/>
                <w:i/>
                <w:iCs/>
                <w:sz w:val="20"/>
                <w:szCs w:val="20"/>
              </w:rPr>
            </w:pPr>
            <w:r w:rsidRPr="008D506F">
              <w:rPr>
                <w:rFonts w:ascii="Arial" w:hAnsi="Arial" w:cs="Arial"/>
                <w:i/>
                <w:iCs/>
                <w:sz w:val="20"/>
                <w:szCs w:val="20"/>
              </w:rPr>
              <w:t>Data Log</w:t>
            </w:r>
          </w:p>
        </w:tc>
        <w:tc>
          <w:tcPr>
            <w:tcW w:w="5595" w:type="dxa"/>
          </w:tcPr>
          <w:p w14:paraId="2810ABFD" w14:textId="2904F63D" w:rsidR="00AC2148" w:rsidRPr="00177786" w:rsidRDefault="00AC2148" w:rsidP="00322897">
            <w:pPr>
              <w:spacing w:after="120"/>
              <w:jc w:val="both"/>
              <w:rPr>
                <w:rFonts w:ascii="Arial" w:hAnsi="Arial"/>
                <w:sz w:val="20"/>
              </w:rPr>
            </w:pPr>
            <w:r w:rsidRPr="00177786">
              <w:rPr>
                <w:rFonts w:ascii="Arial" w:hAnsi="Arial"/>
                <w:sz w:val="20"/>
              </w:rPr>
              <w:t xml:space="preserve">Záznam transakcií komunikačného </w:t>
            </w:r>
            <w:r w:rsidR="002E22D2">
              <w:rPr>
                <w:rFonts w:ascii="Arial" w:hAnsi="Arial"/>
                <w:sz w:val="20"/>
              </w:rPr>
              <w:t>Hubu</w:t>
            </w:r>
            <w:r w:rsidR="002E22D2" w:rsidRPr="00177786">
              <w:rPr>
                <w:rFonts w:ascii="Arial" w:hAnsi="Arial"/>
                <w:sz w:val="20"/>
              </w:rPr>
              <w:t xml:space="preserve"> </w:t>
            </w:r>
            <w:r w:rsidRPr="00177786">
              <w:rPr>
                <w:rFonts w:ascii="Arial" w:hAnsi="Arial"/>
                <w:sz w:val="20"/>
              </w:rPr>
              <w:t>AIB (protokol prenosov).</w:t>
            </w:r>
          </w:p>
          <w:p w14:paraId="03DC2821" w14:textId="6E21F86F" w:rsidR="001D4947" w:rsidRPr="008D506F" w:rsidRDefault="001D4947" w:rsidP="00322897">
            <w:pPr>
              <w:spacing w:after="120"/>
              <w:jc w:val="both"/>
              <w:rPr>
                <w:rFonts w:ascii="Arial" w:hAnsi="Arial" w:cs="Arial"/>
                <w:i/>
                <w:iCs/>
                <w:sz w:val="20"/>
                <w:szCs w:val="20"/>
              </w:rPr>
            </w:pPr>
            <w:r w:rsidRPr="008D506F">
              <w:rPr>
                <w:rFonts w:ascii="Arial" w:hAnsi="Arial" w:cs="Arial"/>
                <w:i/>
                <w:iCs/>
                <w:sz w:val="20"/>
                <w:szCs w:val="20"/>
              </w:rPr>
              <w:t>The Record of Transactions of the AIB Communication Hub (the Transfer Log);</w:t>
            </w:r>
          </w:p>
        </w:tc>
      </w:tr>
      <w:tr w:rsidR="001C5DFF" w:rsidRPr="00177786" w14:paraId="3BB15D8B" w14:textId="77777777" w:rsidTr="00F52A90">
        <w:trPr>
          <w:cantSplit/>
          <w:trHeight w:val="20"/>
        </w:trPr>
        <w:tc>
          <w:tcPr>
            <w:tcW w:w="4498" w:type="dxa"/>
          </w:tcPr>
          <w:p w14:paraId="59BB23D6" w14:textId="77777777" w:rsidR="00AC2148" w:rsidRPr="00177786" w:rsidRDefault="00AC2148" w:rsidP="00322897">
            <w:pPr>
              <w:spacing w:after="120"/>
              <w:jc w:val="both"/>
              <w:rPr>
                <w:rFonts w:ascii="Arial" w:hAnsi="Arial"/>
                <w:sz w:val="20"/>
              </w:rPr>
            </w:pPr>
            <w:r w:rsidRPr="00177786">
              <w:rPr>
                <w:rFonts w:ascii="Arial" w:hAnsi="Arial"/>
                <w:sz w:val="20"/>
              </w:rPr>
              <w:t>Doména</w:t>
            </w:r>
          </w:p>
          <w:p w14:paraId="77E1E5FA" w14:textId="1F57DB3B" w:rsidR="00010A92" w:rsidRPr="008D506F" w:rsidRDefault="00010A92" w:rsidP="00322897">
            <w:pPr>
              <w:spacing w:after="120"/>
              <w:jc w:val="both"/>
              <w:rPr>
                <w:rFonts w:ascii="Arial" w:hAnsi="Arial" w:cs="Arial"/>
                <w:i/>
                <w:iCs/>
                <w:sz w:val="20"/>
                <w:szCs w:val="20"/>
              </w:rPr>
            </w:pPr>
            <w:r w:rsidRPr="008D506F">
              <w:rPr>
                <w:rFonts w:ascii="Arial" w:hAnsi="Arial" w:cs="Arial"/>
                <w:i/>
                <w:iCs/>
                <w:sz w:val="20"/>
                <w:szCs w:val="20"/>
              </w:rPr>
              <w:t>Domain</w:t>
            </w:r>
          </w:p>
        </w:tc>
        <w:tc>
          <w:tcPr>
            <w:tcW w:w="5595" w:type="dxa"/>
          </w:tcPr>
          <w:p w14:paraId="0307F876" w14:textId="3E6758C7" w:rsidR="00AC2148" w:rsidRPr="00177786" w:rsidRDefault="00AC2148" w:rsidP="00322897">
            <w:pPr>
              <w:spacing w:after="120"/>
              <w:jc w:val="both"/>
              <w:rPr>
                <w:rFonts w:ascii="Arial" w:hAnsi="Arial"/>
                <w:sz w:val="20"/>
              </w:rPr>
            </w:pPr>
            <w:r w:rsidRPr="00177786">
              <w:rPr>
                <w:rFonts w:ascii="Arial" w:hAnsi="Arial"/>
                <w:sz w:val="20"/>
              </w:rPr>
              <w:t xml:space="preserve">Oblasť obsahujúca výrobné zariadenia, v súvislosti s ktorými je používateľ komunikačného </w:t>
            </w:r>
            <w:r w:rsidR="002E22D2">
              <w:rPr>
                <w:rFonts w:ascii="Arial" w:hAnsi="Arial"/>
                <w:sz w:val="20"/>
              </w:rPr>
              <w:t>Hubu</w:t>
            </w:r>
            <w:r w:rsidR="002E22D2" w:rsidRPr="00177786">
              <w:rPr>
                <w:rFonts w:ascii="Arial" w:hAnsi="Arial"/>
                <w:sz w:val="20"/>
              </w:rPr>
              <w:t xml:space="preserve"> </w:t>
            </w:r>
            <w:r w:rsidRPr="00177786">
              <w:rPr>
                <w:rFonts w:ascii="Arial" w:hAnsi="Arial"/>
                <w:sz w:val="20"/>
              </w:rPr>
              <w:t>zodpovedným orgánom.</w:t>
            </w:r>
          </w:p>
          <w:p w14:paraId="3040A973" w14:textId="0DFC7313" w:rsidR="00E62447" w:rsidRPr="008D506F" w:rsidRDefault="00E62447" w:rsidP="00322897">
            <w:pPr>
              <w:spacing w:after="120"/>
              <w:jc w:val="both"/>
              <w:rPr>
                <w:rFonts w:ascii="Arial" w:hAnsi="Arial" w:cs="Arial"/>
                <w:i/>
                <w:iCs/>
                <w:sz w:val="20"/>
                <w:szCs w:val="20"/>
              </w:rPr>
            </w:pPr>
            <w:r w:rsidRPr="008D506F">
              <w:rPr>
                <w:rFonts w:ascii="Arial" w:hAnsi="Arial" w:cs="Arial"/>
                <w:i/>
                <w:iCs/>
                <w:sz w:val="20"/>
                <w:szCs w:val="20"/>
              </w:rPr>
              <w:t>An area containing Production Devices with respect to which a Hub user is a Competent Body;</w:t>
            </w:r>
          </w:p>
        </w:tc>
      </w:tr>
      <w:tr w:rsidR="001C5DFF" w:rsidRPr="00177786" w14:paraId="21008204" w14:textId="77777777" w:rsidTr="00F52A90">
        <w:trPr>
          <w:cantSplit/>
          <w:trHeight w:val="20"/>
        </w:trPr>
        <w:tc>
          <w:tcPr>
            <w:tcW w:w="4498" w:type="dxa"/>
          </w:tcPr>
          <w:p w14:paraId="0A81FA29" w14:textId="4213FF93" w:rsidR="009243C6" w:rsidRPr="00177786" w:rsidRDefault="002E22D2" w:rsidP="00322897">
            <w:pPr>
              <w:spacing w:after="120"/>
              <w:jc w:val="both"/>
              <w:rPr>
                <w:rFonts w:ascii="Arial" w:hAnsi="Arial"/>
                <w:sz w:val="20"/>
              </w:rPr>
            </w:pPr>
            <w:r>
              <w:rPr>
                <w:rFonts w:ascii="Arial" w:hAnsi="Arial"/>
                <w:sz w:val="20"/>
              </w:rPr>
              <w:t>Doménový</w:t>
            </w:r>
            <w:r w:rsidRPr="00177786">
              <w:rPr>
                <w:rFonts w:ascii="Arial" w:hAnsi="Arial"/>
                <w:sz w:val="20"/>
              </w:rPr>
              <w:t xml:space="preserve"> </w:t>
            </w:r>
            <w:r>
              <w:rPr>
                <w:rFonts w:ascii="Arial" w:hAnsi="Arial"/>
                <w:sz w:val="20"/>
              </w:rPr>
              <w:t>protokol</w:t>
            </w:r>
          </w:p>
          <w:p w14:paraId="1E5E8340" w14:textId="216B3BB3" w:rsidR="00846B6B" w:rsidRPr="008D506F" w:rsidRDefault="00846B6B" w:rsidP="00322897">
            <w:pPr>
              <w:spacing w:after="120"/>
              <w:jc w:val="both"/>
              <w:rPr>
                <w:rFonts w:ascii="Arial" w:hAnsi="Arial" w:cs="Arial"/>
                <w:i/>
                <w:iCs/>
                <w:sz w:val="20"/>
                <w:szCs w:val="20"/>
              </w:rPr>
            </w:pPr>
            <w:r w:rsidRPr="008D506F">
              <w:rPr>
                <w:rFonts w:ascii="Arial" w:hAnsi="Arial" w:cs="Arial"/>
                <w:i/>
                <w:iCs/>
                <w:sz w:val="20"/>
                <w:szCs w:val="20"/>
              </w:rPr>
              <w:t>Domain Protocol</w:t>
            </w:r>
          </w:p>
        </w:tc>
        <w:tc>
          <w:tcPr>
            <w:tcW w:w="5595" w:type="dxa"/>
          </w:tcPr>
          <w:p w14:paraId="285DCB6A" w14:textId="5E11AE27" w:rsidR="009243C6" w:rsidRPr="00177786" w:rsidRDefault="0040613E" w:rsidP="00322897">
            <w:pPr>
              <w:spacing w:after="120"/>
              <w:jc w:val="both"/>
              <w:rPr>
                <w:rFonts w:ascii="Arial" w:hAnsi="Arial"/>
                <w:sz w:val="20"/>
              </w:rPr>
            </w:pPr>
            <w:r w:rsidRPr="00177786">
              <w:rPr>
                <w:rFonts w:ascii="Arial" w:hAnsi="Arial"/>
                <w:sz w:val="20"/>
              </w:rPr>
              <w:t xml:space="preserve">V súvislosti s doménou </w:t>
            </w:r>
            <w:r w:rsidR="00237E71" w:rsidRPr="00177786">
              <w:rPr>
                <w:rFonts w:ascii="Arial" w:hAnsi="Arial"/>
                <w:sz w:val="20"/>
              </w:rPr>
              <w:t xml:space="preserve">ide o </w:t>
            </w:r>
            <w:r w:rsidRPr="00177786">
              <w:rPr>
                <w:rFonts w:ascii="Arial" w:hAnsi="Arial"/>
                <w:sz w:val="20"/>
              </w:rPr>
              <w:t>dokument opisujúci postupy a regulačné ustanovenia týkajúce sa GO [alebo iných certifikátov EECS podľa nelegislatívnych certifikačných systémov] pre danú doménu.</w:t>
            </w:r>
          </w:p>
          <w:p w14:paraId="2ADDFB5A" w14:textId="41FFC803" w:rsidR="00780925" w:rsidRPr="008D506F" w:rsidRDefault="00780925" w:rsidP="00237E71">
            <w:pPr>
              <w:spacing w:after="120"/>
              <w:jc w:val="both"/>
              <w:rPr>
                <w:rFonts w:ascii="Arial" w:hAnsi="Arial" w:cs="Arial"/>
                <w:i/>
                <w:iCs/>
                <w:sz w:val="20"/>
                <w:szCs w:val="20"/>
              </w:rPr>
            </w:pPr>
            <w:r w:rsidRPr="008D506F">
              <w:rPr>
                <w:rFonts w:ascii="Arial" w:hAnsi="Arial" w:cs="Arial"/>
                <w:i/>
                <w:iCs/>
                <w:sz w:val="20"/>
                <w:szCs w:val="20"/>
              </w:rPr>
              <w:t>In connection with a Domain, a document describing the procedures and regulatory provisions regarding GOs [and/or other EECS Certificates according to non-Legislative Certification Schemes] for that Domain;</w:t>
            </w:r>
          </w:p>
        </w:tc>
      </w:tr>
      <w:tr w:rsidR="001C5DFF" w:rsidRPr="00177786" w14:paraId="446B25BF" w14:textId="77777777" w:rsidTr="00F52A90">
        <w:trPr>
          <w:cantSplit/>
          <w:trHeight w:val="20"/>
        </w:trPr>
        <w:tc>
          <w:tcPr>
            <w:tcW w:w="4498" w:type="dxa"/>
          </w:tcPr>
          <w:p w14:paraId="29B9F94D" w14:textId="77777777" w:rsidR="00C9503F" w:rsidRPr="00177786" w:rsidRDefault="00C9503F" w:rsidP="00322897">
            <w:pPr>
              <w:spacing w:after="120"/>
              <w:jc w:val="both"/>
              <w:rPr>
                <w:rFonts w:ascii="Arial" w:hAnsi="Arial"/>
                <w:sz w:val="20"/>
              </w:rPr>
            </w:pPr>
            <w:r w:rsidRPr="00177786">
              <w:rPr>
                <w:rFonts w:ascii="Arial" w:hAnsi="Arial"/>
                <w:sz w:val="20"/>
              </w:rPr>
              <w:t>Pravidlá EECS</w:t>
            </w:r>
          </w:p>
          <w:p w14:paraId="2B889085" w14:textId="107F51A5" w:rsidR="00D90AA1" w:rsidRPr="008D506F" w:rsidRDefault="00D90AA1" w:rsidP="00322897">
            <w:pPr>
              <w:spacing w:after="120"/>
              <w:jc w:val="both"/>
              <w:rPr>
                <w:rFonts w:ascii="Arial" w:hAnsi="Arial" w:cs="Arial"/>
                <w:i/>
                <w:iCs/>
                <w:sz w:val="20"/>
                <w:szCs w:val="20"/>
              </w:rPr>
            </w:pPr>
            <w:r w:rsidRPr="008D506F">
              <w:rPr>
                <w:rFonts w:ascii="Arial" w:hAnsi="Arial" w:cs="Arial"/>
                <w:i/>
                <w:iCs/>
                <w:sz w:val="20"/>
                <w:szCs w:val="20"/>
              </w:rPr>
              <w:t>EECS Rules</w:t>
            </w:r>
          </w:p>
        </w:tc>
        <w:tc>
          <w:tcPr>
            <w:tcW w:w="5595" w:type="dxa"/>
          </w:tcPr>
          <w:p w14:paraId="17F21CF5" w14:textId="77777777" w:rsidR="00C9503F" w:rsidRPr="00177786" w:rsidRDefault="00C9503F" w:rsidP="00322897">
            <w:pPr>
              <w:spacing w:after="120"/>
              <w:jc w:val="both"/>
              <w:rPr>
                <w:rFonts w:ascii="Arial" w:hAnsi="Arial"/>
                <w:sz w:val="20"/>
              </w:rPr>
            </w:pPr>
            <w:r w:rsidRPr="00177786">
              <w:rPr>
                <w:rFonts w:ascii="Arial" w:hAnsi="Arial"/>
                <w:sz w:val="20"/>
              </w:rPr>
              <w:t>Zásady a pravidlá fungovania európskeho systému energetických certifikátov.</w:t>
            </w:r>
          </w:p>
          <w:p w14:paraId="311D1995" w14:textId="0DB996E6" w:rsidR="003E0159" w:rsidRPr="008D506F" w:rsidRDefault="003E0159" w:rsidP="00322897">
            <w:pPr>
              <w:spacing w:after="120"/>
              <w:jc w:val="both"/>
              <w:rPr>
                <w:rFonts w:ascii="Arial" w:hAnsi="Arial" w:cs="Arial"/>
                <w:i/>
                <w:iCs/>
                <w:sz w:val="20"/>
                <w:szCs w:val="20"/>
              </w:rPr>
            </w:pPr>
            <w:r w:rsidRPr="008D506F">
              <w:rPr>
                <w:rFonts w:ascii="Arial" w:hAnsi="Arial" w:cs="Arial"/>
                <w:i/>
                <w:iCs/>
                <w:sz w:val="20"/>
                <w:szCs w:val="20"/>
              </w:rPr>
              <w:t>The Principles and Rules of Operation of the European Energy Certificate System;</w:t>
            </w:r>
          </w:p>
        </w:tc>
      </w:tr>
      <w:tr w:rsidR="001C5DFF" w:rsidRPr="00177786" w14:paraId="7BC24801" w14:textId="77777777" w:rsidTr="00F52A90">
        <w:trPr>
          <w:cantSplit/>
          <w:trHeight w:val="20"/>
        </w:trPr>
        <w:tc>
          <w:tcPr>
            <w:tcW w:w="4498" w:type="dxa"/>
          </w:tcPr>
          <w:p w14:paraId="49D27D83" w14:textId="14408EE2" w:rsidR="000758CE" w:rsidRPr="00177786" w:rsidRDefault="00FD4939" w:rsidP="00322897">
            <w:pPr>
              <w:spacing w:after="120"/>
              <w:jc w:val="both"/>
              <w:rPr>
                <w:rFonts w:ascii="Arial" w:hAnsi="Arial"/>
                <w:sz w:val="20"/>
              </w:rPr>
            </w:pPr>
            <w:r>
              <w:rPr>
                <w:rFonts w:ascii="Arial" w:hAnsi="Arial"/>
                <w:sz w:val="20"/>
              </w:rPr>
              <w:t>Z</w:t>
            </w:r>
            <w:r w:rsidR="000758CE" w:rsidRPr="00177786">
              <w:rPr>
                <w:rFonts w:ascii="Arial" w:hAnsi="Arial"/>
                <w:sz w:val="20"/>
              </w:rPr>
              <w:t>áruka pôvodu</w:t>
            </w:r>
            <w:r>
              <w:rPr>
                <w:rFonts w:ascii="Arial" w:hAnsi="Arial"/>
                <w:sz w:val="20"/>
              </w:rPr>
              <w:t xml:space="preserve"> v štandarde</w:t>
            </w:r>
            <w:r w:rsidR="000758CE" w:rsidRPr="00177786">
              <w:rPr>
                <w:rFonts w:ascii="Arial" w:hAnsi="Arial"/>
                <w:sz w:val="20"/>
              </w:rPr>
              <w:t xml:space="preserve"> EECS</w:t>
            </w:r>
          </w:p>
          <w:p w14:paraId="31627EE5" w14:textId="52BBAADC" w:rsidR="00ED7C5E" w:rsidRPr="008D506F" w:rsidRDefault="00ED7C5E" w:rsidP="00322897">
            <w:pPr>
              <w:spacing w:after="120"/>
              <w:jc w:val="both"/>
              <w:rPr>
                <w:rFonts w:ascii="Arial" w:hAnsi="Arial" w:cs="Arial"/>
                <w:i/>
                <w:iCs/>
                <w:sz w:val="20"/>
                <w:szCs w:val="20"/>
              </w:rPr>
            </w:pPr>
            <w:r w:rsidRPr="008D506F">
              <w:rPr>
                <w:rFonts w:ascii="Arial" w:hAnsi="Arial" w:cs="Arial"/>
                <w:i/>
                <w:iCs/>
                <w:sz w:val="20"/>
                <w:szCs w:val="20"/>
              </w:rPr>
              <w:t>EECS standard GO</w:t>
            </w:r>
          </w:p>
        </w:tc>
        <w:tc>
          <w:tcPr>
            <w:tcW w:w="5595" w:type="dxa"/>
          </w:tcPr>
          <w:p w14:paraId="068F4552" w14:textId="0BB63DD6" w:rsidR="000758CE" w:rsidRPr="00177786" w:rsidRDefault="0013351A" w:rsidP="00322897">
            <w:pPr>
              <w:spacing w:after="120"/>
              <w:jc w:val="both"/>
              <w:rPr>
                <w:rFonts w:ascii="Arial" w:hAnsi="Arial"/>
                <w:sz w:val="20"/>
              </w:rPr>
            </w:pPr>
            <w:r w:rsidRPr="00177786">
              <w:rPr>
                <w:rFonts w:ascii="Arial" w:hAnsi="Arial"/>
                <w:sz w:val="20"/>
              </w:rPr>
              <w:t xml:space="preserve">Záruka pôvodu, ktorú možno preniesť len prostredníctvom komunikačného </w:t>
            </w:r>
            <w:r w:rsidR="002E22D2">
              <w:rPr>
                <w:rFonts w:ascii="Arial" w:hAnsi="Arial"/>
                <w:sz w:val="20"/>
              </w:rPr>
              <w:t>Hubu</w:t>
            </w:r>
            <w:r w:rsidR="002E22D2" w:rsidRPr="00177786">
              <w:rPr>
                <w:rFonts w:ascii="Arial" w:hAnsi="Arial"/>
                <w:sz w:val="20"/>
              </w:rPr>
              <w:t xml:space="preserve"> </w:t>
            </w:r>
            <w:r w:rsidRPr="00177786">
              <w:rPr>
                <w:rFonts w:ascii="Arial" w:hAnsi="Arial"/>
                <w:sz w:val="20"/>
              </w:rPr>
              <w:t>AIB;</w:t>
            </w:r>
          </w:p>
          <w:p w14:paraId="2AAAF694" w14:textId="4DCA52F1" w:rsidR="008D3C61" w:rsidRPr="008D506F" w:rsidRDefault="008D3C61" w:rsidP="00322897">
            <w:pPr>
              <w:spacing w:after="120"/>
              <w:jc w:val="both"/>
              <w:rPr>
                <w:rFonts w:ascii="Arial" w:hAnsi="Arial" w:cs="Arial"/>
                <w:i/>
                <w:iCs/>
                <w:sz w:val="20"/>
                <w:szCs w:val="20"/>
              </w:rPr>
            </w:pPr>
            <w:r w:rsidRPr="008D506F">
              <w:rPr>
                <w:rFonts w:ascii="Arial" w:hAnsi="Arial" w:cs="Arial"/>
                <w:i/>
                <w:iCs/>
                <w:sz w:val="20"/>
                <w:szCs w:val="20"/>
              </w:rPr>
              <w:t>A GO, which can be transferred via AIB Hub only;</w:t>
            </w:r>
          </w:p>
        </w:tc>
      </w:tr>
      <w:tr w:rsidR="001C5DFF" w:rsidRPr="00177786" w14:paraId="44BD1B5D" w14:textId="77777777" w:rsidTr="00F52A90">
        <w:trPr>
          <w:cantSplit/>
          <w:trHeight w:val="929"/>
        </w:trPr>
        <w:tc>
          <w:tcPr>
            <w:tcW w:w="4498" w:type="dxa"/>
          </w:tcPr>
          <w:p w14:paraId="4896EA98" w14:textId="77777777" w:rsidR="00AC2148" w:rsidRPr="00177786" w:rsidRDefault="00AC2148" w:rsidP="00322897">
            <w:pPr>
              <w:spacing w:after="120"/>
              <w:jc w:val="both"/>
              <w:rPr>
                <w:rFonts w:ascii="Arial" w:hAnsi="Arial"/>
                <w:sz w:val="20"/>
              </w:rPr>
            </w:pPr>
            <w:r w:rsidRPr="00177786">
              <w:rPr>
                <w:rFonts w:ascii="Arial" w:hAnsi="Arial"/>
                <w:sz w:val="20"/>
              </w:rPr>
              <w:lastRenderedPageBreak/>
              <w:t>Záruka pôvodu (alebo „GO“)</w:t>
            </w:r>
          </w:p>
          <w:p w14:paraId="5D93E834" w14:textId="3039B05E" w:rsidR="00442FD6" w:rsidRPr="008D506F" w:rsidRDefault="00442FD6" w:rsidP="00322897">
            <w:pPr>
              <w:spacing w:after="120"/>
              <w:jc w:val="both"/>
              <w:rPr>
                <w:rFonts w:ascii="Arial" w:hAnsi="Arial" w:cs="Arial"/>
                <w:i/>
                <w:iCs/>
                <w:sz w:val="20"/>
                <w:szCs w:val="20"/>
              </w:rPr>
            </w:pPr>
            <w:r w:rsidRPr="008D506F">
              <w:rPr>
                <w:rFonts w:ascii="Arial" w:hAnsi="Arial" w:cs="Arial"/>
                <w:i/>
                <w:iCs/>
                <w:sz w:val="20"/>
                <w:szCs w:val="20"/>
              </w:rPr>
              <w:t>Guarantee of Origin (or “GO”)</w:t>
            </w:r>
          </w:p>
        </w:tc>
        <w:tc>
          <w:tcPr>
            <w:tcW w:w="5595" w:type="dxa"/>
          </w:tcPr>
          <w:p w14:paraId="2FFDB59D" w14:textId="1EA51DAB" w:rsidR="00AC2148" w:rsidRPr="00177786" w:rsidRDefault="00AC2148" w:rsidP="00322897">
            <w:pPr>
              <w:spacing w:after="120"/>
              <w:jc w:val="both"/>
              <w:rPr>
                <w:rFonts w:ascii="Arial" w:hAnsi="Arial"/>
                <w:sz w:val="20"/>
              </w:rPr>
            </w:pPr>
            <w:r w:rsidRPr="00177786">
              <w:rPr>
                <w:rFonts w:ascii="Arial" w:hAnsi="Arial"/>
                <w:sz w:val="20"/>
              </w:rPr>
              <w:t xml:space="preserve">Elektronický dokument (certifikát), ktorý vydal zodpovedný orgán podľa právnych predpisov štátu ako záruku povahy a pôvodu energie na dôkaz konečnému zákazníkovi, že daný podiel alebo množstvo energie: i) bol vyrobený zo zdroja energie, na ktorý sa záruka vzťahuje; ii) bol vyrobený určeným typom technológie, na ktorý sa záruka vzťahuje; a/alebo iii) </w:t>
            </w:r>
            <w:r w:rsidR="00253204" w:rsidRPr="00177786">
              <w:rPr>
                <w:rFonts w:ascii="Arial" w:hAnsi="Arial"/>
                <w:sz w:val="20"/>
              </w:rPr>
              <w:t>má</w:t>
            </w:r>
            <w:r w:rsidR="00E66291">
              <w:rPr>
                <w:rFonts w:ascii="Arial" w:hAnsi="Arial"/>
                <w:sz w:val="20"/>
              </w:rPr>
              <w:t>,</w:t>
            </w:r>
            <w:r w:rsidRPr="00177786">
              <w:rPr>
                <w:rFonts w:ascii="Arial" w:hAnsi="Arial"/>
                <w:sz w:val="20"/>
              </w:rPr>
              <w:t xml:space="preserve"> alebo výrobné zariadenie, ktoré </w:t>
            </w:r>
            <w:r w:rsidR="00BF68A7" w:rsidRPr="00177786">
              <w:rPr>
                <w:rFonts w:ascii="Arial" w:hAnsi="Arial"/>
                <w:sz w:val="20"/>
              </w:rPr>
              <w:t>ho</w:t>
            </w:r>
            <w:r w:rsidRPr="00177786">
              <w:rPr>
                <w:rFonts w:ascii="Arial" w:hAnsi="Arial"/>
                <w:sz w:val="20"/>
              </w:rPr>
              <w:t xml:space="preserve"> vyrobilo, má iné vlastnosti, na ktoré sa vzťahuje záruka.</w:t>
            </w:r>
          </w:p>
          <w:p w14:paraId="0E3FE83D" w14:textId="1BDBC069" w:rsidR="004216E5" w:rsidRPr="008D506F" w:rsidRDefault="004216E5" w:rsidP="00237E71">
            <w:pPr>
              <w:spacing w:after="120"/>
              <w:jc w:val="both"/>
              <w:rPr>
                <w:rFonts w:ascii="Arial" w:hAnsi="Arial" w:cs="Arial"/>
                <w:i/>
                <w:iCs/>
                <w:sz w:val="20"/>
                <w:szCs w:val="20"/>
              </w:rPr>
            </w:pPr>
            <w:r w:rsidRPr="008D506F">
              <w:rPr>
                <w:rFonts w:ascii="Arial" w:hAnsi="Arial" w:cs="Arial"/>
                <w:i/>
                <w:iCs/>
                <w:sz w:val="20"/>
                <w:szCs w:val="20"/>
              </w:rPr>
              <w:t>An electronic document (Certificate) issued by a Competent Body under the laws of a State as a guarantee of the nature and origin of energy for the purpose of providing proof to a final customer that a given share or quantity of energy, as the case may be : (i) was produced from the energy source to which the guarantee relates; (ii) was produced by the specified technology type to which the guarantee relates; and/or (iii) has, or the Production Device(s) which produced it has (or have) other attributes to which the guarantee relates;</w:t>
            </w:r>
          </w:p>
        </w:tc>
      </w:tr>
      <w:tr w:rsidR="001C5DFF" w:rsidRPr="00177786" w14:paraId="69F15639" w14:textId="77777777" w:rsidTr="00F52A90">
        <w:trPr>
          <w:cantSplit/>
          <w:trHeight w:val="20"/>
        </w:trPr>
        <w:tc>
          <w:tcPr>
            <w:tcW w:w="4498" w:type="dxa"/>
          </w:tcPr>
          <w:p w14:paraId="233700BD" w14:textId="77777777" w:rsidR="00A11C65" w:rsidRPr="00177786" w:rsidRDefault="00A11C65" w:rsidP="00322897">
            <w:pPr>
              <w:spacing w:after="120"/>
              <w:jc w:val="both"/>
              <w:rPr>
                <w:rFonts w:ascii="Arial" w:hAnsi="Arial"/>
                <w:sz w:val="20"/>
              </w:rPr>
            </w:pPr>
            <w:r w:rsidRPr="00177786">
              <w:rPr>
                <w:rFonts w:ascii="Arial" w:hAnsi="Arial"/>
                <w:sz w:val="20"/>
              </w:rPr>
              <w:t>HubCom</w:t>
            </w:r>
          </w:p>
          <w:p w14:paraId="25CFA943" w14:textId="187FEBB8" w:rsidR="00355B69" w:rsidRPr="008D506F" w:rsidDel="00986B43" w:rsidRDefault="00355B69" w:rsidP="00322897">
            <w:pPr>
              <w:spacing w:after="120"/>
              <w:jc w:val="both"/>
              <w:rPr>
                <w:rFonts w:ascii="Arial" w:hAnsi="Arial" w:cs="Arial"/>
                <w:i/>
                <w:iCs/>
                <w:sz w:val="20"/>
                <w:szCs w:val="20"/>
              </w:rPr>
            </w:pPr>
            <w:r w:rsidRPr="008D506F">
              <w:rPr>
                <w:rFonts w:ascii="Arial" w:hAnsi="Arial" w:cs="Arial"/>
                <w:i/>
                <w:iCs/>
                <w:sz w:val="20"/>
                <w:szCs w:val="20"/>
              </w:rPr>
              <w:t>HubCom</w:t>
            </w:r>
          </w:p>
        </w:tc>
        <w:tc>
          <w:tcPr>
            <w:tcW w:w="5595" w:type="dxa"/>
          </w:tcPr>
          <w:p w14:paraId="12DB0581" w14:textId="77777777" w:rsidR="00A11C65" w:rsidRPr="00177786" w:rsidRDefault="00A11C65" w:rsidP="00322897">
            <w:pPr>
              <w:spacing w:after="120"/>
              <w:jc w:val="both"/>
              <w:rPr>
                <w:rFonts w:ascii="Arial" w:hAnsi="Arial"/>
                <w:sz w:val="20"/>
              </w:rPr>
            </w:pPr>
            <w:r w:rsidRPr="00177786">
              <w:rPr>
                <w:rFonts w:ascii="Arial" w:hAnsi="Arial"/>
                <w:sz w:val="20"/>
              </w:rPr>
              <w:t>Dokument s názvom „Hub User Compliance Protocol“</w:t>
            </w:r>
            <w:r w:rsidRPr="00177786">
              <w:t xml:space="preserve"> </w:t>
            </w:r>
            <w:r w:rsidRPr="00177786">
              <w:rPr>
                <w:rFonts w:ascii="Arial" w:hAnsi="Arial"/>
                <w:sz w:val="20"/>
              </w:rPr>
              <w:t>a podnázvom „EECS Rules – Subsidiary Document AIB-PRO-SD03: EECS Registration Databases“.</w:t>
            </w:r>
          </w:p>
          <w:p w14:paraId="2A9D2717" w14:textId="6E7E4F5F" w:rsidR="001A6A60" w:rsidRPr="008D506F" w:rsidDel="00986B43" w:rsidRDefault="001A6A60" w:rsidP="00322897">
            <w:pPr>
              <w:spacing w:after="120"/>
              <w:jc w:val="both"/>
              <w:rPr>
                <w:rFonts w:ascii="Arial" w:hAnsi="Arial" w:cs="Arial"/>
                <w:i/>
                <w:iCs/>
                <w:sz w:val="20"/>
                <w:szCs w:val="20"/>
              </w:rPr>
            </w:pPr>
            <w:r w:rsidRPr="008D506F">
              <w:rPr>
                <w:rFonts w:ascii="Arial" w:hAnsi="Arial" w:cs="Arial"/>
                <w:i/>
                <w:iCs/>
                <w:sz w:val="20"/>
                <w:szCs w:val="20"/>
              </w:rPr>
              <w:t>The document known as “Hub User Compliance Protocol” and subtitled “EECS Rules - Subsidiary Document AIB-PRO-SD03: EECS Registration Databases”;</w:t>
            </w:r>
          </w:p>
        </w:tc>
      </w:tr>
      <w:tr w:rsidR="001C5DFF" w:rsidRPr="00177786" w14:paraId="780FC65B" w14:textId="77777777" w:rsidTr="00F52A90">
        <w:trPr>
          <w:cantSplit/>
          <w:trHeight w:val="20"/>
        </w:trPr>
        <w:tc>
          <w:tcPr>
            <w:tcW w:w="4498" w:type="dxa"/>
          </w:tcPr>
          <w:p w14:paraId="5AAB1B06" w14:textId="696EE407" w:rsidR="00AC2148" w:rsidRPr="00177786" w:rsidRDefault="00AC2148" w:rsidP="00322897">
            <w:pPr>
              <w:tabs>
                <w:tab w:val="left" w:pos="3270"/>
              </w:tabs>
              <w:spacing w:after="120"/>
              <w:rPr>
                <w:rFonts w:ascii="Arial" w:hAnsi="Arial"/>
                <w:sz w:val="20"/>
              </w:rPr>
            </w:pPr>
            <w:r w:rsidRPr="00177786">
              <w:rPr>
                <w:rFonts w:ascii="Arial" w:hAnsi="Arial"/>
                <w:sz w:val="20"/>
              </w:rPr>
              <w:t xml:space="preserve">Používateľ komunikačného </w:t>
            </w:r>
            <w:r w:rsidR="002E22D2">
              <w:rPr>
                <w:rFonts w:ascii="Arial" w:hAnsi="Arial"/>
                <w:sz w:val="20"/>
              </w:rPr>
              <w:t>Hubu</w:t>
            </w:r>
          </w:p>
          <w:p w14:paraId="6A85C3BD" w14:textId="054468B1" w:rsidR="00AF0905" w:rsidRPr="008D506F" w:rsidRDefault="00AF0905" w:rsidP="00322897">
            <w:pPr>
              <w:tabs>
                <w:tab w:val="left" w:pos="3270"/>
              </w:tabs>
              <w:spacing w:after="120"/>
              <w:rPr>
                <w:rFonts w:ascii="Arial" w:hAnsi="Arial" w:cs="Arial"/>
                <w:i/>
                <w:iCs/>
                <w:sz w:val="20"/>
                <w:szCs w:val="20"/>
              </w:rPr>
            </w:pPr>
            <w:r w:rsidRPr="008D506F">
              <w:rPr>
                <w:rFonts w:ascii="Arial" w:hAnsi="Arial" w:cs="Arial"/>
                <w:i/>
                <w:iCs/>
                <w:sz w:val="20"/>
                <w:szCs w:val="20"/>
              </w:rPr>
              <w:t>Hub user</w:t>
            </w:r>
          </w:p>
        </w:tc>
        <w:tc>
          <w:tcPr>
            <w:tcW w:w="5595" w:type="dxa"/>
          </w:tcPr>
          <w:p w14:paraId="2CCF4481" w14:textId="5E2EBD9A" w:rsidR="00AC2148" w:rsidRPr="00177786" w:rsidRDefault="00AC2148" w:rsidP="00322897">
            <w:pPr>
              <w:spacing w:after="120"/>
              <w:jc w:val="both"/>
              <w:rPr>
                <w:rFonts w:ascii="Arial" w:hAnsi="Arial"/>
                <w:sz w:val="20"/>
              </w:rPr>
            </w:pPr>
            <w:r w:rsidRPr="00177786">
              <w:rPr>
                <w:rFonts w:ascii="Arial" w:hAnsi="Arial"/>
                <w:sz w:val="20"/>
              </w:rPr>
              <w:t>Zodpovedný orgán alebo prevádzkovateľ registra, ktorý používa komunikačn</w:t>
            </w:r>
            <w:r w:rsidR="002E22D2">
              <w:rPr>
                <w:rFonts w:ascii="Arial" w:hAnsi="Arial"/>
                <w:sz w:val="20"/>
              </w:rPr>
              <w:t xml:space="preserve">ý Hub </w:t>
            </w:r>
            <w:r w:rsidRPr="00177786">
              <w:rPr>
                <w:rFonts w:ascii="Arial" w:hAnsi="Arial"/>
                <w:sz w:val="20"/>
              </w:rPr>
              <w:t>na transakcie.</w:t>
            </w:r>
          </w:p>
          <w:p w14:paraId="28B30D3E" w14:textId="1E45ECDE" w:rsidR="008A3A3A" w:rsidRPr="008D506F" w:rsidRDefault="008A3A3A" w:rsidP="00322897">
            <w:pPr>
              <w:spacing w:after="120"/>
              <w:jc w:val="both"/>
              <w:rPr>
                <w:rFonts w:ascii="Arial" w:hAnsi="Arial" w:cs="Arial"/>
                <w:i/>
                <w:iCs/>
                <w:sz w:val="20"/>
                <w:szCs w:val="20"/>
              </w:rPr>
            </w:pPr>
            <w:r w:rsidRPr="008D506F">
              <w:rPr>
                <w:rFonts w:ascii="Arial" w:hAnsi="Arial" w:cs="Arial"/>
                <w:i/>
                <w:iCs/>
                <w:sz w:val="20"/>
                <w:szCs w:val="20"/>
              </w:rPr>
              <w:t>A Competent Body or Registry Operator which uses the Hub for Transactions;</w:t>
            </w:r>
          </w:p>
        </w:tc>
      </w:tr>
      <w:tr w:rsidR="001C5DFF" w:rsidRPr="00177786" w14:paraId="6E92E809" w14:textId="77777777" w:rsidTr="00F52A90">
        <w:trPr>
          <w:cantSplit/>
          <w:trHeight w:val="20"/>
        </w:trPr>
        <w:tc>
          <w:tcPr>
            <w:tcW w:w="4498" w:type="dxa"/>
          </w:tcPr>
          <w:p w14:paraId="16D4FAA5" w14:textId="77777777" w:rsidR="00EB7700" w:rsidRPr="00177786" w:rsidRDefault="00EB7700" w:rsidP="00322897">
            <w:pPr>
              <w:tabs>
                <w:tab w:val="left" w:pos="3270"/>
              </w:tabs>
              <w:spacing w:after="120"/>
              <w:rPr>
                <w:rFonts w:ascii="Arial" w:hAnsi="Arial"/>
                <w:sz w:val="20"/>
              </w:rPr>
            </w:pPr>
            <w:r w:rsidRPr="00177786">
              <w:rPr>
                <w:rFonts w:ascii="Arial" w:hAnsi="Arial"/>
                <w:sz w:val="20"/>
              </w:rPr>
              <w:t>Vstup</w:t>
            </w:r>
          </w:p>
          <w:p w14:paraId="1039922A" w14:textId="365E3D88" w:rsidR="009D256C" w:rsidRPr="008D506F" w:rsidRDefault="009D256C" w:rsidP="00322897">
            <w:pPr>
              <w:tabs>
                <w:tab w:val="left" w:pos="3270"/>
              </w:tabs>
              <w:spacing w:after="120"/>
              <w:rPr>
                <w:rFonts w:ascii="Arial" w:hAnsi="Arial" w:cs="Arial"/>
                <w:i/>
                <w:iCs/>
                <w:sz w:val="20"/>
                <w:szCs w:val="20"/>
              </w:rPr>
            </w:pPr>
            <w:r w:rsidRPr="008D506F">
              <w:rPr>
                <w:rFonts w:ascii="Arial" w:hAnsi="Arial" w:cs="Arial"/>
                <w:i/>
                <w:iCs/>
                <w:sz w:val="20"/>
                <w:szCs w:val="20"/>
              </w:rPr>
              <w:t>Input</w:t>
            </w:r>
          </w:p>
        </w:tc>
        <w:tc>
          <w:tcPr>
            <w:tcW w:w="5595" w:type="dxa"/>
          </w:tcPr>
          <w:p w14:paraId="3AEA60CE" w14:textId="77777777" w:rsidR="00EB7700" w:rsidRPr="00177786" w:rsidRDefault="00EB7700" w:rsidP="00322897">
            <w:pPr>
              <w:spacing w:after="120"/>
              <w:jc w:val="both"/>
              <w:rPr>
                <w:rFonts w:ascii="Arial" w:hAnsi="Arial"/>
                <w:sz w:val="20"/>
              </w:rPr>
            </w:pPr>
            <w:r w:rsidRPr="00177786">
              <w:rPr>
                <w:rFonts w:ascii="Arial" w:hAnsi="Arial"/>
                <w:sz w:val="20"/>
              </w:rPr>
              <w:t>Množstvo určitého druhu energie alebo materiálu, ktoré spotrebuje výrobné zariadenie využívajúce spaľovaciu technológiu na výrobu výstupu.</w:t>
            </w:r>
          </w:p>
          <w:p w14:paraId="0BA9078A" w14:textId="46E33887" w:rsidR="00E17B23" w:rsidRPr="008D506F" w:rsidRDefault="00E17B23" w:rsidP="00322897">
            <w:pPr>
              <w:spacing w:after="120"/>
              <w:jc w:val="both"/>
              <w:rPr>
                <w:rFonts w:ascii="Arial" w:hAnsi="Arial" w:cs="Arial"/>
                <w:i/>
                <w:iCs/>
                <w:sz w:val="20"/>
                <w:szCs w:val="20"/>
              </w:rPr>
            </w:pPr>
            <w:r w:rsidRPr="008D506F">
              <w:rPr>
                <w:rFonts w:ascii="Arial" w:hAnsi="Arial" w:cs="Arial"/>
                <w:i/>
                <w:iCs/>
                <w:sz w:val="20"/>
                <w:szCs w:val="20"/>
              </w:rPr>
              <w:t>An amount of a specific type of energy or material goods consumed by a Production Device using combustion technology in the production of Output;</w:t>
            </w:r>
          </w:p>
        </w:tc>
      </w:tr>
      <w:tr w:rsidR="001C5DFF" w:rsidRPr="00177786" w14:paraId="534D7E26" w14:textId="77777777" w:rsidTr="00F52A90">
        <w:trPr>
          <w:cantSplit/>
          <w:trHeight w:val="20"/>
        </w:trPr>
        <w:tc>
          <w:tcPr>
            <w:tcW w:w="4498" w:type="dxa"/>
          </w:tcPr>
          <w:p w14:paraId="407B885D" w14:textId="77777777" w:rsidR="00AC2148" w:rsidRPr="00177786" w:rsidRDefault="00AC2148" w:rsidP="00322897">
            <w:pPr>
              <w:spacing w:after="120"/>
              <w:jc w:val="both"/>
              <w:rPr>
                <w:rFonts w:ascii="Arial" w:hAnsi="Arial"/>
                <w:sz w:val="20"/>
              </w:rPr>
            </w:pPr>
            <w:r w:rsidRPr="00177786">
              <w:rPr>
                <w:rFonts w:ascii="Arial" w:hAnsi="Arial"/>
                <w:sz w:val="20"/>
              </w:rPr>
              <w:t>Celistvosť</w:t>
            </w:r>
          </w:p>
          <w:p w14:paraId="14DC963C" w14:textId="5E5CC4F8" w:rsidR="00F771B9" w:rsidRPr="008D506F" w:rsidRDefault="00F771B9" w:rsidP="00322897">
            <w:pPr>
              <w:spacing w:after="120"/>
              <w:jc w:val="both"/>
              <w:rPr>
                <w:rFonts w:ascii="Arial" w:hAnsi="Arial" w:cs="Arial"/>
                <w:i/>
                <w:iCs/>
                <w:sz w:val="20"/>
                <w:szCs w:val="20"/>
              </w:rPr>
            </w:pPr>
            <w:r w:rsidRPr="008D506F">
              <w:rPr>
                <w:rFonts w:ascii="Arial" w:hAnsi="Arial" w:cs="Arial"/>
                <w:i/>
                <w:iCs/>
                <w:sz w:val="20"/>
                <w:szCs w:val="20"/>
              </w:rPr>
              <w:t>Integrity</w:t>
            </w:r>
          </w:p>
        </w:tc>
        <w:tc>
          <w:tcPr>
            <w:tcW w:w="5595" w:type="dxa"/>
          </w:tcPr>
          <w:p w14:paraId="48843AB7" w14:textId="77777777" w:rsidR="00AC2148" w:rsidRPr="00177786" w:rsidRDefault="00AC2148" w:rsidP="00322897">
            <w:pPr>
              <w:spacing w:after="120"/>
              <w:rPr>
                <w:rFonts w:ascii="Arial" w:hAnsi="Arial"/>
                <w:sz w:val="20"/>
              </w:rPr>
            </w:pPr>
            <w:r w:rsidRPr="00177786">
              <w:rPr>
                <w:rFonts w:ascii="Arial" w:hAnsi="Arial"/>
                <w:sz w:val="20"/>
              </w:rPr>
              <w:t>Presnosť a jednotnosť uchovávaných a prenášaných údajov, ktorá sa prejavuje absenciou akýchkoľvek zmien v údajoch počas ich uchovávania a prenosu od odosielateľa k príjemcovi. Celistvosť údajov sa udržiava pomocou procedúr kontroly chýb a validácie.</w:t>
            </w:r>
          </w:p>
          <w:p w14:paraId="6D7C441A" w14:textId="718957C2" w:rsidR="0098550F" w:rsidRPr="008D506F" w:rsidRDefault="0098550F" w:rsidP="00322897">
            <w:pPr>
              <w:spacing w:after="120"/>
              <w:rPr>
                <w:rFonts w:ascii="Arial" w:hAnsi="Arial" w:cs="Arial"/>
                <w:i/>
                <w:iCs/>
                <w:sz w:val="20"/>
                <w:szCs w:val="20"/>
              </w:rPr>
            </w:pPr>
            <w:r w:rsidRPr="008D506F">
              <w:rPr>
                <w:rFonts w:ascii="Arial" w:hAnsi="Arial" w:cs="Arial"/>
                <w:i/>
                <w:iCs/>
                <w:sz w:val="20"/>
                <w:szCs w:val="20"/>
              </w:rPr>
              <w:t>Accuracy and consistency of retained and transmitted data, indicated by an absence of any alteration in data during its retention and its transmission from a Sender to a Receiver. Data integrity is maintained through the use of error checking and validation routines;</w:t>
            </w:r>
          </w:p>
        </w:tc>
      </w:tr>
      <w:tr w:rsidR="001C5DFF" w:rsidRPr="00177786" w14:paraId="4825F16D" w14:textId="77777777" w:rsidTr="00F52A90">
        <w:trPr>
          <w:cantSplit/>
          <w:trHeight w:val="20"/>
        </w:trPr>
        <w:tc>
          <w:tcPr>
            <w:tcW w:w="4498" w:type="dxa"/>
          </w:tcPr>
          <w:p w14:paraId="36B8A550" w14:textId="77777777" w:rsidR="00AC2148" w:rsidRPr="00177786" w:rsidRDefault="00AC2148" w:rsidP="00322897">
            <w:pPr>
              <w:spacing w:after="120"/>
              <w:jc w:val="both"/>
              <w:rPr>
                <w:rFonts w:ascii="Arial" w:hAnsi="Arial"/>
                <w:sz w:val="20"/>
              </w:rPr>
            </w:pPr>
            <w:r w:rsidRPr="00177786">
              <w:rPr>
                <w:rFonts w:ascii="Arial" w:hAnsi="Arial"/>
                <w:sz w:val="20"/>
              </w:rPr>
              <w:lastRenderedPageBreak/>
              <w:t>Legislatívny certifikačný systém</w:t>
            </w:r>
          </w:p>
          <w:p w14:paraId="5EED5670" w14:textId="7292D9F2" w:rsidR="00CE1CE1" w:rsidRPr="008D506F" w:rsidRDefault="00CE1CE1" w:rsidP="00322897">
            <w:pPr>
              <w:spacing w:after="120"/>
              <w:jc w:val="both"/>
              <w:rPr>
                <w:rFonts w:ascii="Arial" w:hAnsi="Arial" w:cs="Arial"/>
                <w:i/>
                <w:iCs/>
                <w:sz w:val="20"/>
                <w:szCs w:val="20"/>
              </w:rPr>
            </w:pPr>
            <w:r w:rsidRPr="008D506F">
              <w:rPr>
                <w:rFonts w:ascii="Arial" w:hAnsi="Arial" w:cs="Arial"/>
                <w:i/>
                <w:iCs/>
                <w:sz w:val="20"/>
                <w:szCs w:val="20"/>
              </w:rPr>
              <w:t>Legislative Certification Scheme</w:t>
            </w:r>
          </w:p>
        </w:tc>
        <w:tc>
          <w:tcPr>
            <w:tcW w:w="5595" w:type="dxa"/>
          </w:tcPr>
          <w:p w14:paraId="10513EB0" w14:textId="77777777" w:rsidR="00AC2148" w:rsidRPr="00177786" w:rsidRDefault="00AC2148" w:rsidP="00322897">
            <w:pPr>
              <w:spacing w:after="120"/>
              <w:rPr>
                <w:rFonts w:ascii="Arial" w:hAnsi="Arial"/>
                <w:sz w:val="20"/>
              </w:rPr>
            </w:pPr>
            <w:r w:rsidRPr="00177786">
              <w:rPr>
                <w:rFonts w:ascii="Arial" w:hAnsi="Arial"/>
                <w:sz w:val="20"/>
              </w:rPr>
              <w:t>Certifikačný systém zavedený podľa právnych predpisov ktoréhokoľvek členského štátu EÚ alebo štátu viazaného k EÚ zmluvou, ktorá vyžaduje vzájomné uznávanie GO.</w:t>
            </w:r>
          </w:p>
          <w:p w14:paraId="5219F056" w14:textId="38685A46" w:rsidR="00092017" w:rsidRPr="008D506F" w:rsidRDefault="00092017" w:rsidP="00322897">
            <w:pPr>
              <w:spacing w:after="120"/>
              <w:rPr>
                <w:rFonts w:ascii="Arial" w:hAnsi="Arial" w:cs="Arial"/>
                <w:i/>
                <w:iCs/>
                <w:sz w:val="20"/>
                <w:szCs w:val="20"/>
              </w:rPr>
            </w:pPr>
            <w:r w:rsidRPr="008D506F">
              <w:rPr>
                <w:rFonts w:ascii="Arial" w:hAnsi="Arial" w:cs="Arial"/>
                <w:i/>
                <w:iCs/>
                <w:sz w:val="20"/>
                <w:szCs w:val="20"/>
              </w:rPr>
              <w:t>A Certification Scheme implemented pursuant to the law of any EU Member State or a State bound to the EU by a Treaty requiring the mutual recognition of GO’s;</w:t>
            </w:r>
          </w:p>
        </w:tc>
      </w:tr>
      <w:tr w:rsidR="001C5DFF" w:rsidRPr="00177786" w14:paraId="03BC70DA" w14:textId="77777777" w:rsidTr="00F52A90">
        <w:trPr>
          <w:cantSplit/>
          <w:trHeight w:val="20"/>
        </w:trPr>
        <w:tc>
          <w:tcPr>
            <w:tcW w:w="4498" w:type="dxa"/>
          </w:tcPr>
          <w:p w14:paraId="66373814" w14:textId="77777777" w:rsidR="00AC2148" w:rsidRPr="00177786" w:rsidRDefault="00AC2148" w:rsidP="00322897">
            <w:pPr>
              <w:spacing w:after="120"/>
              <w:jc w:val="both"/>
              <w:rPr>
                <w:rFonts w:ascii="Arial" w:hAnsi="Arial"/>
                <w:sz w:val="20"/>
              </w:rPr>
            </w:pPr>
            <w:r w:rsidRPr="00177786">
              <w:rPr>
                <w:rFonts w:ascii="Arial" w:hAnsi="Arial"/>
                <w:sz w:val="20"/>
              </w:rPr>
              <w:t>Výstup</w:t>
            </w:r>
          </w:p>
          <w:p w14:paraId="72ABC8CC" w14:textId="7E87B7CE" w:rsidR="00091AE7" w:rsidRPr="008D506F" w:rsidRDefault="00091AE7" w:rsidP="00322897">
            <w:pPr>
              <w:spacing w:after="120"/>
              <w:jc w:val="both"/>
              <w:rPr>
                <w:rFonts w:ascii="Arial" w:hAnsi="Arial" w:cs="Arial"/>
                <w:i/>
                <w:iCs/>
                <w:sz w:val="20"/>
                <w:szCs w:val="20"/>
              </w:rPr>
            </w:pPr>
            <w:r w:rsidRPr="008D506F">
              <w:rPr>
                <w:rFonts w:ascii="Arial" w:hAnsi="Arial" w:cs="Arial"/>
                <w:i/>
                <w:iCs/>
                <w:sz w:val="20"/>
                <w:szCs w:val="20"/>
              </w:rPr>
              <w:t>Output</w:t>
            </w:r>
          </w:p>
        </w:tc>
        <w:tc>
          <w:tcPr>
            <w:tcW w:w="5595" w:type="dxa"/>
          </w:tcPr>
          <w:p w14:paraId="0FD4B207" w14:textId="77777777" w:rsidR="00AC2148" w:rsidRPr="00177786" w:rsidRDefault="00AC2148" w:rsidP="00322897">
            <w:pPr>
              <w:spacing w:after="120"/>
              <w:jc w:val="both"/>
              <w:rPr>
                <w:rFonts w:ascii="Arial" w:hAnsi="Arial"/>
                <w:sz w:val="20"/>
              </w:rPr>
            </w:pPr>
            <w:r w:rsidRPr="00177786">
              <w:rPr>
                <w:rFonts w:ascii="Arial" w:hAnsi="Arial"/>
                <w:sz w:val="20"/>
              </w:rPr>
              <w:t>Množstvo energie alebo materiálu, ktoré vyprodukuje výrobné zariadenie a ktoré meria merací orgán, pričom ide o i) elektrinu, ii) palivo alebo iii) teplo.</w:t>
            </w:r>
          </w:p>
          <w:p w14:paraId="43433105" w14:textId="6632D12C" w:rsidR="002E1D1D" w:rsidRPr="008D506F" w:rsidRDefault="002E1D1D" w:rsidP="00322897">
            <w:pPr>
              <w:spacing w:after="120"/>
              <w:jc w:val="both"/>
              <w:rPr>
                <w:rFonts w:ascii="Arial" w:hAnsi="Arial" w:cs="Arial"/>
                <w:i/>
                <w:iCs/>
                <w:sz w:val="20"/>
                <w:szCs w:val="20"/>
              </w:rPr>
            </w:pPr>
            <w:r w:rsidRPr="008D506F">
              <w:rPr>
                <w:rFonts w:ascii="Arial" w:hAnsi="Arial" w:cs="Arial"/>
                <w:i/>
                <w:iCs/>
                <w:sz w:val="20"/>
                <w:szCs w:val="20"/>
              </w:rPr>
              <w:t>An amount of energy or material goods yielded by a Production Device and measured by a Measurement Body, being either (i) electricity, (ii) fuel, or (iii) heat;</w:t>
            </w:r>
          </w:p>
        </w:tc>
      </w:tr>
      <w:tr w:rsidR="001C5DFF" w:rsidRPr="00177786" w14:paraId="56111888" w14:textId="77777777" w:rsidTr="00F52A90">
        <w:trPr>
          <w:cantSplit/>
          <w:trHeight w:val="20"/>
        </w:trPr>
        <w:tc>
          <w:tcPr>
            <w:tcW w:w="4498" w:type="dxa"/>
          </w:tcPr>
          <w:p w14:paraId="256030F9" w14:textId="77777777" w:rsidR="00AC2148" w:rsidRPr="00177786" w:rsidRDefault="00AC2148" w:rsidP="00322897">
            <w:pPr>
              <w:spacing w:after="120"/>
              <w:jc w:val="both"/>
              <w:rPr>
                <w:rFonts w:ascii="Arial" w:hAnsi="Arial"/>
                <w:sz w:val="20"/>
              </w:rPr>
            </w:pPr>
            <w:r w:rsidRPr="00177786">
              <w:rPr>
                <w:rFonts w:ascii="Arial" w:hAnsi="Arial"/>
                <w:sz w:val="20"/>
              </w:rPr>
              <w:t>Účastník</w:t>
            </w:r>
          </w:p>
          <w:p w14:paraId="6F41FB1D" w14:textId="587664BB" w:rsidR="00B558B1" w:rsidRPr="008D506F" w:rsidRDefault="00B558B1" w:rsidP="00322897">
            <w:pPr>
              <w:spacing w:after="120"/>
              <w:jc w:val="both"/>
              <w:rPr>
                <w:rFonts w:ascii="Arial" w:hAnsi="Arial" w:cs="Arial"/>
                <w:i/>
                <w:iCs/>
                <w:sz w:val="20"/>
                <w:szCs w:val="20"/>
              </w:rPr>
            </w:pPr>
            <w:r w:rsidRPr="008D506F">
              <w:rPr>
                <w:rFonts w:ascii="Arial" w:hAnsi="Arial" w:cs="Arial"/>
                <w:i/>
                <w:iCs/>
                <w:sz w:val="20"/>
                <w:szCs w:val="20"/>
              </w:rPr>
              <w:t>Participant</w:t>
            </w:r>
          </w:p>
        </w:tc>
        <w:tc>
          <w:tcPr>
            <w:tcW w:w="5595" w:type="dxa"/>
          </w:tcPr>
          <w:p w14:paraId="18016C8A" w14:textId="77777777" w:rsidR="00AC2148" w:rsidRPr="00177786" w:rsidRDefault="00AC2148" w:rsidP="00322897">
            <w:pPr>
              <w:spacing w:after="120"/>
              <w:jc w:val="both"/>
              <w:rPr>
                <w:rFonts w:ascii="Arial" w:hAnsi="Arial"/>
                <w:sz w:val="20"/>
              </w:rPr>
            </w:pPr>
            <w:r w:rsidRPr="00177786">
              <w:rPr>
                <w:rFonts w:ascii="Arial" w:hAnsi="Arial"/>
                <w:sz w:val="20"/>
              </w:rPr>
              <w:t>Registrujúci alebo majiteľ účtu.</w:t>
            </w:r>
          </w:p>
          <w:p w14:paraId="514B6FE9" w14:textId="28560893" w:rsidR="00045626" w:rsidRPr="008D506F" w:rsidRDefault="00045626" w:rsidP="00322897">
            <w:pPr>
              <w:spacing w:after="120"/>
              <w:jc w:val="both"/>
              <w:rPr>
                <w:rFonts w:ascii="Arial" w:hAnsi="Arial" w:cs="Arial"/>
                <w:i/>
                <w:iCs/>
                <w:sz w:val="20"/>
                <w:szCs w:val="20"/>
              </w:rPr>
            </w:pPr>
            <w:r w:rsidRPr="008D506F">
              <w:rPr>
                <w:rFonts w:ascii="Arial" w:hAnsi="Arial" w:cs="Arial"/>
                <w:i/>
                <w:iCs/>
                <w:sz w:val="20"/>
                <w:szCs w:val="20"/>
              </w:rPr>
              <w:t>A Registrant or Account Holder;</w:t>
            </w:r>
          </w:p>
        </w:tc>
      </w:tr>
      <w:tr w:rsidR="001C5DFF" w:rsidRPr="00177786" w14:paraId="383BF3DD" w14:textId="77777777" w:rsidTr="00F52A90">
        <w:trPr>
          <w:cantSplit/>
          <w:trHeight w:val="20"/>
        </w:trPr>
        <w:tc>
          <w:tcPr>
            <w:tcW w:w="4498" w:type="dxa"/>
          </w:tcPr>
          <w:p w14:paraId="08BD9AA2" w14:textId="77777777" w:rsidR="00AC2148" w:rsidRPr="00177786" w:rsidRDefault="00AC2148" w:rsidP="00322897">
            <w:pPr>
              <w:spacing w:after="120"/>
              <w:jc w:val="both"/>
              <w:rPr>
                <w:rFonts w:ascii="Arial" w:hAnsi="Arial"/>
                <w:sz w:val="20"/>
              </w:rPr>
            </w:pPr>
            <w:r w:rsidRPr="00177786">
              <w:rPr>
                <w:rFonts w:ascii="Arial" w:hAnsi="Arial"/>
                <w:sz w:val="20"/>
              </w:rPr>
              <w:t>Výrobné zariadenie</w:t>
            </w:r>
          </w:p>
          <w:p w14:paraId="68E6FFE8" w14:textId="66C3C8AF" w:rsidR="00332508" w:rsidRPr="008D506F" w:rsidRDefault="00332508" w:rsidP="00322897">
            <w:pPr>
              <w:spacing w:after="120"/>
              <w:jc w:val="both"/>
              <w:rPr>
                <w:rFonts w:ascii="Arial" w:hAnsi="Arial" w:cs="Arial"/>
                <w:i/>
                <w:iCs/>
                <w:sz w:val="20"/>
                <w:szCs w:val="20"/>
              </w:rPr>
            </w:pPr>
            <w:r w:rsidRPr="008D506F">
              <w:rPr>
                <w:rFonts w:ascii="Arial" w:hAnsi="Arial" w:cs="Arial"/>
                <w:i/>
                <w:iCs/>
                <w:sz w:val="20"/>
                <w:szCs w:val="20"/>
              </w:rPr>
              <w:t>Production Device</w:t>
            </w:r>
          </w:p>
        </w:tc>
        <w:tc>
          <w:tcPr>
            <w:tcW w:w="5595" w:type="dxa"/>
          </w:tcPr>
          <w:p w14:paraId="0D728508" w14:textId="77777777" w:rsidR="00AC2148" w:rsidRPr="00177786" w:rsidRDefault="00AC2148" w:rsidP="00322897">
            <w:pPr>
              <w:spacing w:after="120"/>
              <w:jc w:val="both"/>
              <w:rPr>
                <w:rFonts w:ascii="Arial" w:hAnsi="Arial"/>
                <w:sz w:val="20"/>
              </w:rPr>
            </w:pPr>
            <w:r w:rsidRPr="00177786">
              <w:rPr>
                <w:rFonts w:ascii="Arial" w:hAnsi="Arial"/>
                <w:sz w:val="20"/>
              </w:rPr>
              <w:t>Samostatne merané zariadenie alebo skupina zariadení, ktoré produkujú výstup.</w:t>
            </w:r>
          </w:p>
          <w:p w14:paraId="00F453B5" w14:textId="29F6D251" w:rsidR="00D715A9" w:rsidRPr="008D506F" w:rsidRDefault="00D715A9" w:rsidP="00322897">
            <w:pPr>
              <w:spacing w:after="120"/>
              <w:jc w:val="both"/>
              <w:rPr>
                <w:rFonts w:ascii="Arial" w:hAnsi="Arial" w:cs="Arial"/>
                <w:i/>
                <w:iCs/>
                <w:sz w:val="20"/>
                <w:szCs w:val="20"/>
              </w:rPr>
            </w:pPr>
            <w:r w:rsidRPr="008D506F">
              <w:rPr>
                <w:rFonts w:ascii="Arial" w:hAnsi="Arial" w:cs="Arial"/>
                <w:i/>
                <w:iCs/>
                <w:sz w:val="20"/>
                <w:szCs w:val="20"/>
              </w:rPr>
              <w:t>A separately measured device or group of devices that produces an Output;</w:t>
            </w:r>
          </w:p>
        </w:tc>
      </w:tr>
      <w:tr w:rsidR="001C5DFF" w:rsidRPr="00177786" w14:paraId="36D961CE" w14:textId="77777777" w:rsidTr="00F52A90">
        <w:trPr>
          <w:cantSplit/>
          <w:trHeight w:val="20"/>
        </w:trPr>
        <w:tc>
          <w:tcPr>
            <w:tcW w:w="4498" w:type="dxa"/>
          </w:tcPr>
          <w:p w14:paraId="665D442A" w14:textId="77777777" w:rsidR="00AC2148" w:rsidRPr="00177786" w:rsidRDefault="00AC2148" w:rsidP="00322897">
            <w:pPr>
              <w:spacing w:after="120"/>
              <w:jc w:val="both"/>
              <w:rPr>
                <w:rFonts w:ascii="Arial" w:hAnsi="Arial"/>
                <w:sz w:val="20"/>
              </w:rPr>
            </w:pPr>
            <w:r w:rsidRPr="00177786">
              <w:rPr>
                <w:rFonts w:ascii="Arial" w:hAnsi="Arial"/>
                <w:sz w:val="20"/>
              </w:rPr>
              <w:t>Registrovaná osoba</w:t>
            </w:r>
          </w:p>
          <w:p w14:paraId="6F072619" w14:textId="1352C05D" w:rsidR="00433959" w:rsidRPr="008D506F" w:rsidRDefault="00433959" w:rsidP="00322897">
            <w:pPr>
              <w:spacing w:after="120"/>
              <w:jc w:val="both"/>
              <w:rPr>
                <w:rFonts w:ascii="Arial" w:hAnsi="Arial" w:cs="Arial"/>
                <w:i/>
                <w:iCs/>
                <w:sz w:val="20"/>
                <w:szCs w:val="20"/>
              </w:rPr>
            </w:pPr>
            <w:r w:rsidRPr="008D506F">
              <w:rPr>
                <w:rFonts w:ascii="Arial" w:hAnsi="Arial" w:cs="Arial"/>
                <w:i/>
                <w:iCs/>
                <w:sz w:val="20"/>
                <w:szCs w:val="20"/>
              </w:rPr>
              <w:t>Registrant</w:t>
            </w:r>
          </w:p>
        </w:tc>
        <w:tc>
          <w:tcPr>
            <w:tcW w:w="5595" w:type="dxa"/>
          </w:tcPr>
          <w:p w14:paraId="1EDD17BA" w14:textId="77777777" w:rsidR="00AC2148" w:rsidRPr="00177786" w:rsidRDefault="00AC2148" w:rsidP="00322897">
            <w:pPr>
              <w:spacing w:after="120"/>
              <w:jc w:val="both"/>
              <w:rPr>
                <w:rFonts w:ascii="Arial" w:hAnsi="Arial"/>
                <w:sz w:val="20"/>
              </w:rPr>
            </w:pPr>
            <w:r w:rsidRPr="00177786">
              <w:rPr>
                <w:rFonts w:ascii="Arial" w:hAnsi="Arial"/>
                <w:sz w:val="20"/>
              </w:rPr>
              <w:t>Osoba, na ktorej meno je výrobné zariadenie priebežne registrované v registri na účely vydávania certifikátov.</w:t>
            </w:r>
          </w:p>
          <w:p w14:paraId="004D76F6" w14:textId="36BD2619" w:rsidR="00037712" w:rsidRPr="008D506F" w:rsidRDefault="00037712" w:rsidP="00322897">
            <w:pPr>
              <w:spacing w:after="120"/>
              <w:jc w:val="both"/>
              <w:rPr>
                <w:rFonts w:ascii="Arial" w:hAnsi="Arial" w:cs="Arial"/>
                <w:i/>
                <w:iCs/>
                <w:sz w:val="20"/>
                <w:szCs w:val="20"/>
              </w:rPr>
            </w:pPr>
            <w:r w:rsidRPr="008D506F">
              <w:rPr>
                <w:rFonts w:ascii="Arial" w:hAnsi="Arial" w:cs="Arial"/>
                <w:i/>
                <w:iCs/>
                <w:sz w:val="20"/>
                <w:szCs w:val="20"/>
              </w:rPr>
              <w:t>A person in whose name a Production Device is registered from time to time in a Registry for the purposes of the issue of Certificates;</w:t>
            </w:r>
          </w:p>
        </w:tc>
      </w:tr>
      <w:tr w:rsidR="001C5DFF" w:rsidRPr="00177786" w14:paraId="37DD4750" w14:textId="77777777" w:rsidTr="00F52A90">
        <w:trPr>
          <w:cantSplit/>
          <w:trHeight w:val="20"/>
        </w:trPr>
        <w:tc>
          <w:tcPr>
            <w:tcW w:w="4498" w:type="dxa"/>
          </w:tcPr>
          <w:p w14:paraId="2799ABA1" w14:textId="77777777" w:rsidR="00AC2148" w:rsidRPr="00177786" w:rsidRDefault="00AC2148" w:rsidP="00322897">
            <w:pPr>
              <w:spacing w:after="120"/>
              <w:jc w:val="both"/>
              <w:rPr>
                <w:rFonts w:ascii="Arial" w:hAnsi="Arial"/>
                <w:sz w:val="20"/>
              </w:rPr>
            </w:pPr>
            <w:r w:rsidRPr="00177786">
              <w:rPr>
                <w:rFonts w:ascii="Arial" w:hAnsi="Arial"/>
                <w:sz w:val="20"/>
              </w:rPr>
              <w:t>Registračná databáza (alebo „register“)</w:t>
            </w:r>
          </w:p>
          <w:p w14:paraId="4C89FCA5" w14:textId="1149D3F9" w:rsidR="00F8165D" w:rsidRPr="008D506F" w:rsidRDefault="00F8165D" w:rsidP="00322897">
            <w:pPr>
              <w:spacing w:after="120"/>
              <w:jc w:val="both"/>
              <w:rPr>
                <w:rFonts w:ascii="Arial" w:hAnsi="Arial" w:cs="Arial"/>
                <w:i/>
                <w:iCs/>
                <w:sz w:val="20"/>
                <w:szCs w:val="20"/>
              </w:rPr>
            </w:pPr>
            <w:r w:rsidRPr="008D506F">
              <w:rPr>
                <w:rFonts w:ascii="Arial" w:hAnsi="Arial" w:cs="Arial"/>
                <w:i/>
                <w:iCs/>
                <w:sz w:val="20"/>
                <w:szCs w:val="20"/>
              </w:rPr>
              <w:t>Registration Database (or “Registry”)</w:t>
            </w:r>
          </w:p>
        </w:tc>
        <w:tc>
          <w:tcPr>
            <w:tcW w:w="5595" w:type="dxa"/>
          </w:tcPr>
          <w:p w14:paraId="64AE21E0" w14:textId="4711071E" w:rsidR="00AC2148" w:rsidRPr="00177786" w:rsidRDefault="00AC2148" w:rsidP="00696D1E">
            <w:pPr>
              <w:spacing w:after="120"/>
              <w:jc w:val="both"/>
              <w:rPr>
                <w:rFonts w:ascii="Arial" w:hAnsi="Arial" w:cs="Arial"/>
                <w:sz w:val="20"/>
                <w:szCs w:val="20"/>
              </w:rPr>
            </w:pPr>
            <w:r w:rsidRPr="00177786">
              <w:rPr>
                <w:rFonts w:ascii="Arial" w:hAnsi="Arial"/>
                <w:sz w:val="20"/>
              </w:rPr>
              <w:t xml:space="preserve">Databáza, ktorú prevádzkuje používateľ komunikačného </w:t>
            </w:r>
            <w:r w:rsidR="002E22D2">
              <w:rPr>
                <w:rFonts w:ascii="Arial" w:hAnsi="Arial"/>
                <w:sz w:val="20"/>
              </w:rPr>
              <w:t>Hubu</w:t>
            </w:r>
            <w:r w:rsidR="002E22D2" w:rsidRPr="00177786">
              <w:rPr>
                <w:rFonts w:ascii="Arial" w:hAnsi="Arial"/>
                <w:sz w:val="20"/>
              </w:rPr>
              <w:t xml:space="preserve"> </w:t>
            </w:r>
            <w:r w:rsidRPr="00177786">
              <w:rPr>
                <w:rFonts w:ascii="Arial" w:hAnsi="Arial"/>
                <w:sz w:val="20"/>
              </w:rPr>
              <w:t xml:space="preserve">alebo prevádzkovateľ registra v mene používateľa komunikačného </w:t>
            </w:r>
            <w:r w:rsidR="002E22D2">
              <w:rPr>
                <w:rFonts w:ascii="Arial" w:hAnsi="Arial"/>
                <w:sz w:val="20"/>
              </w:rPr>
              <w:t>Hubu</w:t>
            </w:r>
            <w:r w:rsidRPr="00177786">
              <w:rPr>
                <w:rFonts w:ascii="Arial" w:hAnsi="Arial"/>
                <w:sz w:val="20"/>
              </w:rPr>
              <w:t xml:space="preserve">, ktorá obsahuje: </w:t>
            </w:r>
          </w:p>
          <w:p w14:paraId="075689B6" w14:textId="30512594" w:rsidR="00AC2148" w:rsidRPr="00177786" w:rsidRDefault="00AC2148" w:rsidP="00696D1E">
            <w:pPr>
              <w:numPr>
                <w:ilvl w:val="5"/>
                <w:numId w:val="2"/>
              </w:numPr>
              <w:tabs>
                <w:tab w:val="clear" w:pos="0"/>
                <w:tab w:val="num" w:pos="356"/>
              </w:tabs>
              <w:spacing w:after="120"/>
              <w:ind w:left="356" w:hanging="356"/>
              <w:jc w:val="both"/>
              <w:rPr>
                <w:rFonts w:ascii="Arial" w:hAnsi="Arial" w:cs="Arial"/>
                <w:sz w:val="20"/>
                <w:szCs w:val="20"/>
              </w:rPr>
            </w:pPr>
            <w:r w:rsidRPr="00177786">
              <w:rPr>
                <w:rFonts w:ascii="Arial" w:hAnsi="Arial"/>
                <w:sz w:val="20"/>
              </w:rPr>
              <w:t xml:space="preserve">prenosné a </w:t>
            </w:r>
            <w:r w:rsidR="00253204" w:rsidRPr="00177786">
              <w:rPr>
                <w:rFonts w:ascii="Arial" w:hAnsi="Arial"/>
                <w:sz w:val="20"/>
              </w:rPr>
              <w:t xml:space="preserve">stornovacie </w:t>
            </w:r>
            <w:r w:rsidRPr="00177786">
              <w:rPr>
                <w:rFonts w:ascii="Arial" w:hAnsi="Arial"/>
                <w:sz w:val="20"/>
              </w:rPr>
              <w:t>účty a certifikáty na týchto účtoch</w:t>
            </w:r>
            <w:r w:rsidR="00F61E6B" w:rsidRPr="00177786">
              <w:rPr>
                <w:rFonts w:ascii="Arial" w:hAnsi="Arial"/>
                <w:sz w:val="20"/>
              </w:rPr>
              <w:t>,</w:t>
            </w:r>
          </w:p>
          <w:p w14:paraId="1DEDBDD9" w14:textId="77777777" w:rsidR="00AC2148" w:rsidRPr="00177786" w:rsidRDefault="00AC2148" w:rsidP="00696D1E">
            <w:pPr>
              <w:numPr>
                <w:ilvl w:val="5"/>
                <w:numId w:val="2"/>
              </w:numPr>
              <w:tabs>
                <w:tab w:val="clear" w:pos="0"/>
                <w:tab w:val="num" w:pos="356"/>
              </w:tabs>
              <w:spacing w:after="120"/>
              <w:ind w:left="356" w:hanging="356"/>
              <w:jc w:val="both"/>
              <w:rPr>
                <w:rFonts w:ascii="Arial" w:hAnsi="Arial" w:cs="Arial"/>
                <w:sz w:val="20"/>
                <w:szCs w:val="20"/>
              </w:rPr>
            </w:pPr>
            <w:r w:rsidRPr="00177786">
              <w:rPr>
                <w:rFonts w:ascii="Arial" w:hAnsi="Arial"/>
                <w:sz w:val="20"/>
              </w:rPr>
              <w:t>údaje o výrobných zariadeniach a informácie poskytované v súvislosti s registráciou výrobných zariadení,</w:t>
            </w:r>
          </w:p>
          <w:p w14:paraId="26B742B9" w14:textId="77777777" w:rsidR="00AC2148" w:rsidRPr="00177786" w:rsidRDefault="00AC2148" w:rsidP="00696D1E">
            <w:pPr>
              <w:numPr>
                <w:ilvl w:val="5"/>
                <w:numId w:val="2"/>
              </w:numPr>
              <w:tabs>
                <w:tab w:val="clear" w:pos="0"/>
                <w:tab w:val="num" w:pos="356"/>
              </w:tabs>
              <w:spacing w:after="120"/>
              <w:ind w:left="356" w:hanging="356"/>
              <w:jc w:val="both"/>
              <w:rPr>
                <w:rFonts w:ascii="Arial" w:hAnsi="Arial" w:cs="Arial"/>
                <w:sz w:val="20"/>
                <w:szCs w:val="20"/>
              </w:rPr>
            </w:pPr>
            <w:r w:rsidRPr="00177786">
              <w:rPr>
                <w:rFonts w:ascii="Arial" w:hAnsi="Arial"/>
                <w:sz w:val="20"/>
              </w:rPr>
              <w:t>podrobnosti o certifikátoch, ktoré boli prevedené z tohto registra.</w:t>
            </w:r>
          </w:p>
          <w:p w14:paraId="5F8769E7" w14:textId="77777777" w:rsidR="00CA4686" w:rsidRPr="008D506F" w:rsidRDefault="00CA4686" w:rsidP="00CA4686">
            <w:pPr>
              <w:spacing w:after="120"/>
              <w:jc w:val="both"/>
              <w:rPr>
                <w:rFonts w:ascii="Arial" w:hAnsi="Arial" w:cs="Arial"/>
                <w:i/>
                <w:iCs/>
                <w:sz w:val="20"/>
                <w:szCs w:val="20"/>
                <w:lang w:eastAsia="en-US"/>
              </w:rPr>
            </w:pPr>
            <w:r w:rsidRPr="008D506F">
              <w:rPr>
                <w:rFonts w:ascii="Arial" w:hAnsi="Arial" w:cs="Arial"/>
                <w:i/>
                <w:iCs/>
                <w:sz w:val="20"/>
                <w:szCs w:val="20"/>
                <w:lang w:eastAsia="en-US"/>
              </w:rPr>
              <w:t xml:space="preserve">A database operated by a Hub user or a Registry Operator on behalf of a Hub user, comprising: </w:t>
            </w:r>
          </w:p>
          <w:p w14:paraId="68F6B3AF" w14:textId="77777777" w:rsidR="00CA4686" w:rsidRPr="008D506F" w:rsidRDefault="00CA4686" w:rsidP="00CA4686">
            <w:pPr>
              <w:pStyle w:val="Odsekzoznamu"/>
              <w:numPr>
                <w:ilvl w:val="0"/>
                <w:numId w:val="8"/>
              </w:numPr>
              <w:spacing w:after="120"/>
              <w:ind w:left="380" w:hanging="380"/>
              <w:contextualSpacing w:val="0"/>
              <w:jc w:val="both"/>
              <w:rPr>
                <w:rFonts w:ascii="Arial" w:hAnsi="Arial" w:cs="Arial"/>
                <w:i/>
                <w:iCs/>
                <w:sz w:val="20"/>
                <w:szCs w:val="20"/>
              </w:rPr>
            </w:pPr>
            <w:r w:rsidRPr="008D506F">
              <w:rPr>
                <w:rFonts w:ascii="Arial" w:hAnsi="Arial" w:cs="Arial"/>
                <w:i/>
                <w:iCs/>
                <w:sz w:val="20"/>
                <w:szCs w:val="20"/>
              </w:rPr>
              <w:t>Transferables and Cancellation Accounts and the Certificates in those Accounts;</w:t>
            </w:r>
          </w:p>
          <w:p w14:paraId="5B582893" w14:textId="77777777" w:rsidR="00CA4686" w:rsidRPr="008D506F" w:rsidRDefault="00CA4686" w:rsidP="00CA4686">
            <w:pPr>
              <w:pStyle w:val="Odsekzoznamu"/>
              <w:numPr>
                <w:ilvl w:val="0"/>
                <w:numId w:val="8"/>
              </w:numPr>
              <w:spacing w:after="120"/>
              <w:ind w:left="380" w:hanging="380"/>
              <w:contextualSpacing w:val="0"/>
              <w:jc w:val="both"/>
              <w:rPr>
                <w:rFonts w:ascii="Arial" w:hAnsi="Arial" w:cs="Arial"/>
                <w:i/>
                <w:iCs/>
                <w:sz w:val="20"/>
                <w:szCs w:val="20"/>
              </w:rPr>
            </w:pPr>
            <w:r w:rsidRPr="008D506F">
              <w:rPr>
                <w:rFonts w:ascii="Arial" w:hAnsi="Arial" w:cs="Arial"/>
                <w:i/>
                <w:iCs/>
                <w:sz w:val="20"/>
                <w:szCs w:val="20"/>
              </w:rPr>
              <w:t>Details of Production Devices and information provided in connection with the registration of Production Devices;</w:t>
            </w:r>
          </w:p>
          <w:p w14:paraId="4498E02F" w14:textId="60196DBC" w:rsidR="00CA4686" w:rsidRPr="00177786" w:rsidRDefault="00CA4686" w:rsidP="00CA4686">
            <w:pPr>
              <w:pStyle w:val="Odsekzoznamu"/>
              <w:numPr>
                <w:ilvl w:val="0"/>
                <w:numId w:val="8"/>
              </w:numPr>
              <w:spacing w:after="120"/>
              <w:ind w:left="380" w:hanging="380"/>
              <w:contextualSpacing w:val="0"/>
              <w:jc w:val="both"/>
              <w:rPr>
                <w:rFonts w:ascii="Arial" w:hAnsi="Arial" w:cs="Arial"/>
                <w:sz w:val="20"/>
                <w:szCs w:val="20"/>
              </w:rPr>
            </w:pPr>
            <w:r w:rsidRPr="008D506F">
              <w:rPr>
                <w:rFonts w:ascii="Arial" w:hAnsi="Arial" w:cs="Arial"/>
                <w:i/>
                <w:iCs/>
                <w:sz w:val="20"/>
                <w:szCs w:val="20"/>
              </w:rPr>
              <w:t>Details of Certificates which have been transferred out of that Registry;</w:t>
            </w:r>
          </w:p>
        </w:tc>
      </w:tr>
      <w:tr w:rsidR="001C5DFF" w:rsidRPr="00177786" w14:paraId="5489366D" w14:textId="77777777" w:rsidTr="00F52A90">
        <w:trPr>
          <w:cantSplit/>
          <w:trHeight w:val="20"/>
        </w:trPr>
        <w:tc>
          <w:tcPr>
            <w:tcW w:w="4498" w:type="dxa"/>
          </w:tcPr>
          <w:p w14:paraId="4EEC0EB0" w14:textId="755C3D26" w:rsidR="00D047F1" w:rsidRPr="00177786" w:rsidRDefault="00D047F1" w:rsidP="00322897">
            <w:pPr>
              <w:spacing w:after="120"/>
              <w:jc w:val="both"/>
              <w:rPr>
                <w:rFonts w:ascii="Arial" w:hAnsi="Arial"/>
                <w:sz w:val="20"/>
              </w:rPr>
            </w:pPr>
            <w:r w:rsidRPr="00177786">
              <w:rPr>
                <w:rFonts w:ascii="Arial" w:hAnsi="Arial"/>
                <w:sz w:val="20"/>
              </w:rPr>
              <w:lastRenderedPageBreak/>
              <w:t xml:space="preserve">Záruka pôvodu </w:t>
            </w:r>
            <w:r w:rsidR="002E22D2">
              <w:rPr>
                <w:rFonts w:ascii="Arial" w:hAnsi="Arial"/>
                <w:sz w:val="20"/>
              </w:rPr>
              <w:t xml:space="preserve">v štandarde </w:t>
            </w:r>
            <w:r w:rsidRPr="00177786">
              <w:rPr>
                <w:rFonts w:ascii="Arial" w:hAnsi="Arial"/>
                <w:sz w:val="20"/>
              </w:rPr>
              <w:t>SK GAS</w:t>
            </w:r>
          </w:p>
          <w:p w14:paraId="71E899FC" w14:textId="50C6E3EF" w:rsidR="00204FC9" w:rsidRPr="008D506F" w:rsidRDefault="00204FC9" w:rsidP="00322897">
            <w:pPr>
              <w:spacing w:after="120"/>
              <w:jc w:val="both"/>
              <w:rPr>
                <w:rFonts w:ascii="Arial" w:hAnsi="Arial" w:cs="Arial"/>
                <w:i/>
                <w:iCs/>
                <w:sz w:val="20"/>
                <w:szCs w:val="20"/>
              </w:rPr>
            </w:pPr>
            <w:r w:rsidRPr="008D506F">
              <w:rPr>
                <w:rFonts w:ascii="Arial" w:hAnsi="Arial" w:cs="Arial"/>
                <w:i/>
                <w:iCs/>
                <w:sz w:val="20"/>
                <w:szCs w:val="20"/>
              </w:rPr>
              <w:t>SK GAS standard GO</w:t>
            </w:r>
          </w:p>
        </w:tc>
        <w:tc>
          <w:tcPr>
            <w:tcW w:w="5595" w:type="dxa"/>
          </w:tcPr>
          <w:p w14:paraId="24F92D56" w14:textId="734AE83B" w:rsidR="00D047F1" w:rsidRPr="00177786" w:rsidRDefault="00310FF8" w:rsidP="00696D1E">
            <w:pPr>
              <w:spacing w:after="120"/>
              <w:jc w:val="both"/>
              <w:rPr>
                <w:rFonts w:ascii="Arial" w:hAnsi="Arial"/>
                <w:sz w:val="20"/>
              </w:rPr>
            </w:pPr>
            <w:r w:rsidRPr="00177786">
              <w:rPr>
                <w:rFonts w:ascii="Arial" w:hAnsi="Arial"/>
                <w:sz w:val="20"/>
              </w:rPr>
              <w:t xml:space="preserve">GO, ktorá nie je súčasťou EECS a ktorú možno preniesť len prostredníctvom komunikačného </w:t>
            </w:r>
            <w:r w:rsidR="002E22D2">
              <w:rPr>
                <w:rFonts w:ascii="Arial" w:hAnsi="Arial"/>
                <w:sz w:val="20"/>
              </w:rPr>
              <w:t>Hubu</w:t>
            </w:r>
            <w:r w:rsidR="002E22D2" w:rsidRPr="00177786">
              <w:rPr>
                <w:rFonts w:ascii="Arial" w:hAnsi="Arial"/>
                <w:sz w:val="20"/>
              </w:rPr>
              <w:t xml:space="preserve"> </w:t>
            </w:r>
            <w:r w:rsidRPr="00177786">
              <w:rPr>
                <w:rFonts w:ascii="Arial" w:hAnsi="Arial"/>
                <w:sz w:val="20"/>
              </w:rPr>
              <w:t>ERGaR.</w:t>
            </w:r>
          </w:p>
          <w:p w14:paraId="036854C8" w14:textId="0EFBE19E" w:rsidR="00A50BDE" w:rsidRPr="008D506F" w:rsidRDefault="00A50BDE" w:rsidP="00696D1E">
            <w:pPr>
              <w:spacing w:after="120"/>
              <w:jc w:val="both"/>
              <w:rPr>
                <w:rFonts w:ascii="Arial" w:hAnsi="Arial" w:cs="Arial"/>
                <w:i/>
                <w:iCs/>
                <w:sz w:val="20"/>
                <w:szCs w:val="20"/>
              </w:rPr>
            </w:pPr>
            <w:r w:rsidRPr="008D506F">
              <w:rPr>
                <w:rFonts w:ascii="Arial" w:hAnsi="Arial" w:cs="Arial"/>
                <w:i/>
                <w:iCs/>
                <w:sz w:val="20"/>
                <w:szCs w:val="20"/>
              </w:rPr>
              <w:t>A non-EECS GO, which can be transferred via ERGaR Hub only;</w:t>
            </w:r>
          </w:p>
        </w:tc>
      </w:tr>
      <w:tr w:rsidR="001C5DFF" w:rsidRPr="00177786" w14:paraId="79BE6AA8" w14:textId="77777777" w:rsidTr="00F52A90">
        <w:trPr>
          <w:cantSplit/>
          <w:trHeight w:val="20"/>
        </w:trPr>
        <w:tc>
          <w:tcPr>
            <w:tcW w:w="4498" w:type="dxa"/>
          </w:tcPr>
          <w:p w14:paraId="3B155E6E" w14:textId="77777777" w:rsidR="00AC2148" w:rsidRPr="00177786" w:rsidRDefault="00AC2148" w:rsidP="00322897">
            <w:pPr>
              <w:spacing w:after="120"/>
              <w:jc w:val="both"/>
              <w:rPr>
                <w:rFonts w:ascii="Arial" w:hAnsi="Arial"/>
                <w:sz w:val="20"/>
              </w:rPr>
            </w:pPr>
            <w:r w:rsidRPr="00177786">
              <w:rPr>
                <w:rFonts w:ascii="Arial" w:hAnsi="Arial"/>
                <w:sz w:val="20"/>
              </w:rPr>
              <w:t>Transakcia</w:t>
            </w:r>
          </w:p>
          <w:p w14:paraId="3F05928B" w14:textId="7E6436D2" w:rsidR="00EA2293" w:rsidRPr="008D506F" w:rsidRDefault="00EA2293" w:rsidP="00322897">
            <w:pPr>
              <w:spacing w:after="120"/>
              <w:jc w:val="both"/>
              <w:rPr>
                <w:rFonts w:ascii="Arial" w:hAnsi="Arial" w:cs="Arial"/>
                <w:i/>
                <w:iCs/>
                <w:sz w:val="20"/>
                <w:szCs w:val="20"/>
              </w:rPr>
            </w:pPr>
            <w:r w:rsidRPr="008D506F">
              <w:rPr>
                <w:rFonts w:ascii="Arial" w:hAnsi="Arial" w:cs="Arial"/>
                <w:i/>
                <w:iCs/>
                <w:sz w:val="20"/>
                <w:szCs w:val="20"/>
              </w:rPr>
              <w:t>Transaction</w:t>
            </w:r>
          </w:p>
        </w:tc>
        <w:tc>
          <w:tcPr>
            <w:tcW w:w="5595" w:type="dxa"/>
          </w:tcPr>
          <w:p w14:paraId="67A50A98" w14:textId="1942AE46" w:rsidR="00AC2148" w:rsidRPr="00177786" w:rsidRDefault="00AC2148" w:rsidP="0018622C">
            <w:pPr>
              <w:spacing w:after="120"/>
              <w:jc w:val="both"/>
              <w:rPr>
                <w:rFonts w:ascii="Arial" w:hAnsi="Arial"/>
                <w:sz w:val="20"/>
              </w:rPr>
            </w:pPr>
            <w:r w:rsidRPr="00177786">
              <w:rPr>
                <w:rFonts w:ascii="Arial" w:hAnsi="Arial"/>
                <w:sz w:val="20"/>
              </w:rPr>
              <w:t xml:space="preserve">Akákoľvek komunikácia uskutočnená a identifikovaná ako prenos medzi registrami týkajúci sa GO </w:t>
            </w:r>
            <w:r w:rsidR="00F61E6B" w:rsidRPr="00177786">
              <w:rPr>
                <w:rFonts w:ascii="Arial" w:hAnsi="Arial"/>
                <w:sz w:val="20"/>
              </w:rPr>
              <w:t>(</w:t>
            </w:r>
            <w:r w:rsidRPr="00177786">
              <w:rPr>
                <w:rFonts w:ascii="Arial" w:hAnsi="Arial"/>
                <w:sz w:val="20"/>
              </w:rPr>
              <w:t>alebo iných certifikátov EECS podľa nelegislatívnych certifikačných systémov</w:t>
            </w:r>
            <w:r w:rsidR="00F61E6B" w:rsidRPr="00177786">
              <w:rPr>
                <w:rFonts w:ascii="Arial" w:hAnsi="Arial"/>
                <w:sz w:val="20"/>
              </w:rPr>
              <w:t>)</w:t>
            </w:r>
            <w:r w:rsidRPr="00177786">
              <w:rPr>
                <w:rFonts w:ascii="Arial" w:hAnsi="Arial"/>
                <w:sz w:val="20"/>
              </w:rPr>
              <w:t>, na ktorý sa elektronická správa vzťahuje.</w:t>
            </w:r>
          </w:p>
          <w:p w14:paraId="53D3A71A" w14:textId="4F205FAC" w:rsidR="00201A9A" w:rsidRPr="008D506F" w:rsidRDefault="00201A9A" w:rsidP="0018622C">
            <w:pPr>
              <w:spacing w:after="120"/>
              <w:jc w:val="both"/>
              <w:rPr>
                <w:rFonts w:ascii="Arial" w:hAnsi="Arial" w:cs="Arial"/>
                <w:i/>
                <w:iCs/>
                <w:sz w:val="20"/>
                <w:szCs w:val="20"/>
              </w:rPr>
            </w:pPr>
            <w:r w:rsidRPr="008D506F">
              <w:rPr>
                <w:rFonts w:ascii="Arial" w:hAnsi="Arial" w:cs="Arial"/>
                <w:i/>
                <w:iCs/>
                <w:sz w:val="20"/>
                <w:szCs w:val="20"/>
              </w:rPr>
              <w:t>Any communication made and identified as a transfer between Registries regarding GOs [and/or other EECS Certificates according to non-Legislative Certification Schemes], to which an electronic message refers.</w:t>
            </w:r>
          </w:p>
        </w:tc>
      </w:tr>
    </w:tbl>
    <w:p w14:paraId="190EA38C" w14:textId="568D74EB" w:rsidR="002E6164" w:rsidRPr="008D506F" w:rsidRDefault="002E6164" w:rsidP="003C3770">
      <w:pPr>
        <w:pStyle w:val="CM8"/>
        <w:keepNext/>
        <w:widowControl/>
        <w:spacing w:before="360" w:after="120"/>
        <w:ind w:left="851" w:hanging="567"/>
        <w:jc w:val="both"/>
        <w:rPr>
          <w:b/>
          <w:bCs/>
          <w:i/>
          <w:iCs/>
          <w:sz w:val="32"/>
          <w:szCs w:val="32"/>
        </w:rPr>
      </w:pPr>
      <w:r w:rsidRPr="00177786">
        <w:rPr>
          <w:b/>
          <w:sz w:val="32"/>
        </w:rPr>
        <w:t>2.</w:t>
      </w:r>
      <w:r w:rsidR="003C3770" w:rsidRPr="00177786">
        <w:rPr>
          <w:b/>
          <w:sz w:val="32"/>
        </w:rPr>
        <w:tab/>
      </w:r>
      <w:r w:rsidRPr="00177786">
        <w:rPr>
          <w:b/>
          <w:sz w:val="32"/>
        </w:rPr>
        <w:t>Účel</w:t>
      </w:r>
      <w:r w:rsidR="003C3770" w:rsidRPr="00177786">
        <w:rPr>
          <w:b/>
          <w:sz w:val="32"/>
        </w:rPr>
        <w:br/>
      </w:r>
      <w:r w:rsidR="003C3770" w:rsidRPr="008D506F">
        <w:rPr>
          <w:b/>
          <w:bCs/>
          <w:i/>
          <w:iCs/>
          <w:sz w:val="32"/>
          <w:szCs w:val="32"/>
        </w:rPr>
        <w:t>Purpose</w:t>
      </w:r>
    </w:p>
    <w:p w14:paraId="11F1645E" w14:textId="3785F17C" w:rsidR="009F6C29" w:rsidRPr="00177786" w:rsidRDefault="00C67FC9" w:rsidP="005A1BA8">
      <w:pPr>
        <w:pStyle w:val="CM3"/>
        <w:spacing w:after="120"/>
        <w:jc w:val="both"/>
        <w:rPr>
          <w:sz w:val="20"/>
        </w:rPr>
      </w:pPr>
      <w:r w:rsidRPr="00177786">
        <w:rPr>
          <w:sz w:val="20"/>
        </w:rPr>
        <w:t>Tento dokument je zmluvou (ďalej len „</w:t>
      </w:r>
      <w:r w:rsidR="0076562C">
        <w:rPr>
          <w:sz w:val="20"/>
        </w:rPr>
        <w:t>Z</w:t>
      </w:r>
      <w:r w:rsidRPr="00177786">
        <w:rPr>
          <w:sz w:val="20"/>
        </w:rPr>
        <w:t xml:space="preserve">mluva“) medzi SPP – distribúcia, a.s. a </w:t>
      </w:r>
      <w:sdt>
        <w:sdtPr>
          <w:rPr>
            <w:sz w:val="20"/>
          </w:rPr>
          <w:id w:val="1983735664"/>
          <w:placeholder>
            <w:docPart w:val="DefaultPlaceholder_-1854013440"/>
          </w:placeholder>
        </w:sdtPr>
        <w:sdtContent>
          <w:r w:rsidR="006B7452">
            <w:rPr>
              <w:sz w:val="20"/>
            </w:rPr>
            <w:t>XXXXXXXXXXXXXXXXXXX</w:t>
          </w:r>
        </w:sdtContent>
      </w:sdt>
      <w:r w:rsidR="00882DBA" w:rsidRPr="00882DBA">
        <w:rPr>
          <w:sz w:val="20"/>
        </w:rPr>
        <w:t xml:space="preserve"> </w:t>
      </w:r>
      <w:r w:rsidRPr="00177786">
        <w:rPr>
          <w:sz w:val="20"/>
        </w:rPr>
        <w:t>(ďalej len „účastník trhu“).</w:t>
      </w:r>
    </w:p>
    <w:p w14:paraId="61A4F6B7" w14:textId="1997C1BE" w:rsidR="00C67FC9" w:rsidRPr="00A7344F" w:rsidRDefault="00275418" w:rsidP="00A7344F">
      <w:pPr>
        <w:pStyle w:val="CM3"/>
        <w:spacing w:after="120"/>
        <w:jc w:val="both"/>
        <w:rPr>
          <w:i/>
          <w:iCs/>
          <w:sz w:val="20"/>
          <w:szCs w:val="20"/>
        </w:rPr>
      </w:pPr>
      <w:r w:rsidRPr="008D506F">
        <w:rPr>
          <w:i/>
          <w:iCs/>
          <w:sz w:val="20"/>
          <w:szCs w:val="20"/>
        </w:rPr>
        <w:t xml:space="preserve">This document is a Contract (hereinafter called “the Contract”) between SPP - distribúcia, a.s. and </w:t>
      </w:r>
      <w:r w:rsidR="00E31BE0">
        <w:rPr>
          <w:i/>
          <w:iCs/>
          <w:sz w:val="20"/>
          <w:szCs w:val="20"/>
        </w:rPr>
        <w:t xml:space="preserve">             </w:t>
      </w:r>
      <w:sdt>
        <w:sdtPr>
          <w:rPr>
            <w:i/>
            <w:iCs/>
            <w:sz w:val="20"/>
            <w:szCs w:val="20"/>
          </w:rPr>
          <w:id w:val="-942070021"/>
          <w:placeholder>
            <w:docPart w:val="DefaultPlaceholder_-1854013440"/>
          </w:placeholder>
        </w:sdtPr>
        <w:sdtContent>
          <w:r w:rsidR="006662E9">
            <w:rPr>
              <w:i/>
              <w:iCs/>
              <w:sz w:val="20"/>
              <w:szCs w:val="20"/>
            </w:rPr>
            <w:t>XXXXXXXXXXXXXXXXXXXXX</w:t>
          </w:r>
        </w:sdtContent>
      </w:sdt>
      <w:r w:rsidR="00882DBA" w:rsidRPr="00882DBA">
        <w:rPr>
          <w:i/>
          <w:iCs/>
          <w:sz w:val="20"/>
          <w:szCs w:val="20"/>
        </w:rPr>
        <w:t xml:space="preserve"> </w:t>
      </w:r>
      <w:r w:rsidRPr="008D506F">
        <w:rPr>
          <w:i/>
          <w:iCs/>
          <w:sz w:val="20"/>
          <w:szCs w:val="20"/>
        </w:rPr>
        <w:t>(</w:t>
      </w:r>
      <w:proofErr w:type="spellStart"/>
      <w:r w:rsidRPr="008D506F">
        <w:rPr>
          <w:i/>
          <w:iCs/>
          <w:sz w:val="20"/>
          <w:szCs w:val="20"/>
        </w:rPr>
        <w:t>hereinafter</w:t>
      </w:r>
      <w:proofErr w:type="spellEnd"/>
      <w:r w:rsidRPr="008D506F">
        <w:rPr>
          <w:i/>
          <w:iCs/>
          <w:sz w:val="20"/>
          <w:szCs w:val="20"/>
        </w:rPr>
        <w:t xml:space="preserve"> “</w:t>
      </w:r>
      <w:proofErr w:type="spellStart"/>
      <w:r w:rsidRPr="008D506F">
        <w:rPr>
          <w:i/>
          <w:iCs/>
          <w:sz w:val="20"/>
          <w:szCs w:val="20"/>
        </w:rPr>
        <w:t>The</w:t>
      </w:r>
      <w:proofErr w:type="spellEnd"/>
      <w:r w:rsidRPr="008D506F">
        <w:rPr>
          <w:i/>
          <w:iCs/>
          <w:sz w:val="20"/>
          <w:szCs w:val="20"/>
        </w:rPr>
        <w:t xml:space="preserve"> </w:t>
      </w:r>
      <w:proofErr w:type="spellStart"/>
      <w:r w:rsidRPr="008D506F">
        <w:rPr>
          <w:i/>
          <w:iCs/>
          <w:sz w:val="20"/>
          <w:szCs w:val="20"/>
        </w:rPr>
        <w:t>Market</w:t>
      </w:r>
      <w:proofErr w:type="spellEnd"/>
      <w:r w:rsidRPr="008D506F">
        <w:rPr>
          <w:i/>
          <w:iCs/>
          <w:sz w:val="20"/>
          <w:szCs w:val="20"/>
        </w:rPr>
        <w:t xml:space="preserve"> Participant”).</w:t>
      </w:r>
    </w:p>
    <w:p w14:paraId="1D8FF560" w14:textId="1A7F6D95" w:rsidR="009F6C29" w:rsidRPr="00177786" w:rsidRDefault="002E6164" w:rsidP="005A1BA8">
      <w:pPr>
        <w:pStyle w:val="Default"/>
        <w:spacing w:after="120"/>
        <w:jc w:val="both"/>
        <w:rPr>
          <w:color w:val="auto"/>
          <w:sz w:val="20"/>
        </w:rPr>
      </w:pPr>
      <w:r w:rsidRPr="00177786">
        <w:rPr>
          <w:color w:val="auto"/>
          <w:sz w:val="20"/>
        </w:rPr>
        <w:t xml:space="preserve">Táto </w:t>
      </w:r>
      <w:r w:rsidR="0076562C">
        <w:rPr>
          <w:color w:val="auto"/>
          <w:sz w:val="20"/>
        </w:rPr>
        <w:t>Z</w:t>
      </w:r>
      <w:r w:rsidRPr="00177786">
        <w:rPr>
          <w:color w:val="auto"/>
          <w:sz w:val="20"/>
        </w:rPr>
        <w:t>mluva stanovuje podmienky, za ktorých je spoločnosť SPP – distribúcia, a.s. pripravená poskytovať účastníkovi trhu transakčné služby týkajúce sa záruk pôvodu</w:t>
      </w:r>
      <w:r w:rsidR="00FD4939">
        <w:rPr>
          <w:color w:val="auto"/>
          <w:sz w:val="20"/>
        </w:rPr>
        <w:t xml:space="preserve"> vydaných v súlade s</w:t>
      </w:r>
      <w:r w:rsidRPr="00177786">
        <w:rPr>
          <w:color w:val="auto"/>
          <w:sz w:val="20"/>
        </w:rPr>
        <w:t xml:space="preserve"> EECS </w:t>
      </w:r>
      <w:r w:rsidR="00FD4939">
        <w:rPr>
          <w:color w:val="auto"/>
          <w:sz w:val="20"/>
        </w:rPr>
        <w:t xml:space="preserve">štandardom </w:t>
      </w:r>
      <w:r w:rsidRPr="00177786">
        <w:rPr>
          <w:color w:val="auto"/>
          <w:sz w:val="20"/>
        </w:rPr>
        <w:t xml:space="preserve">prostredníctvom komunikačného </w:t>
      </w:r>
      <w:r w:rsidR="002E22D2">
        <w:rPr>
          <w:color w:val="auto"/>
          <w:sz w:val="20"/>
        </w:rPr>
        <w:t>Hubu</w:t>
      </w:r>
      <w:r w:rsidR="002E22D2" w:rsidRPr="00177786">
        <w:rPr>
          <w:color w:val="auto"/>
          <w:sz w:val="20"/>
        </w:rPr>
        <w:t xml:space="preserve"> </w:t>
      </w:r>
      <w:r w:rsidRPr="00177786">
        <w:rPr>
          <w:color w:val="auto"/>
          <w:sz w:val="20"/>
        </w:rPr>
        <w:t>AIB, ako to stanovujú pravidlá opísané v</w:t>
      </w:r>
      <w:r w:rsidR="002E22D2">
        <w:rPr>
          <w:color w:val="auto"/>
          <w:sz w:val="20"/>
        </w:rPr>
        <w:t xml:space="preserve"> doménovom </w:t>
      </w:r>
      <w:r w:rsidRPr="00177786">
        <w:rPr>
          <w:color w:val="auto"/>
          <w:sz w:val="20"/>
        </w:rPr>
        <w:t>protokole a protokole HubCom, ktorý vydáva AIB.</w:t>
      </w:r>
    </w:p>
    <w:p w14:paraId="4B1664A4" w14:textId="57E8EB19" w:rsidR="005A1BA8" w:rsidRPr="008D506F" w:rsidRDefault="00950A40" w:rsidP="005A1BA8">
      <w:pPr>
        <w:pStyle w:val="Default"/>
        <w:spacing w:after="120"/>
        <w:jc w:val="both"/>
        <w:rPr>
          <w:i/>
          <w:iCs/>
          <w:color w:val="auto"/>
          <w:sz w:val="20"/>
          <w:szCs w:val="20"/>
        </w:rPr>
      </w:pPr>
      <w:r w:rsidRPr="008D506F">
        <w:rPr>
          <w:i/>
          <w:iCs/>
          <w:color w:val="auto"/>
          <w:sz w:val="20"/>
          <w:szCs w:val="20"/>
        </w:rPr>
        <w:t>This Contract sets out the terms and conditions upon which SPP - distribúcia, a.s. is prepared to provide Transaction services regarding GOs issued in the EECS standard to The Market Participant via the AIB Communication Hub as contemplated by the rules described in the Domain Protocol and the HubCom Protocol issued by the AIB.</w:t>
      </w:r>
    </w:p>
    <w:p w14:paraId="5B0ECC50" w14:textId="210ADDB4" w:rsidR="009F6C29" w:rsidRPr="00177786" w:rsidRDefault="00A72B3E" w:rsidP="005A1BA8">
      <w:pPr>
        <w:pStyle w:val="Default"/>
        <w:spacing w:after="120"/>
        <w:jc w:val="both"/>
        <w:rPr>
          <w:color w:val="auto"/>
          <w:sz w:val="20"/>
        </w:rPr>
      </w:pPr>
      <w:r w:rsidRPr="00177786">
        <w:rPr>
          <w:color w:val="auto"/>
          <w:sz w:val="20"/>
        </w:rPr>
        <w:t xml:space="preserve">Ak sa transakcie vykonávajú na žiadosť účastníka trhu alebo za jeho účasti v súlade s touto </w:t>
      </w:r>
      <w:r w:rsidR="0076562C">
        <w:rPr>
          <w:color w:val="auto"/>
          <w:sz w:val="20"/>
        </w:rPr>
        <w:t>Z</w:t>
      </w:r>
      <w:r w:rsidRPr="00177786">
        <w:rPr>
          <w:color w:val="auto"/>
          <w:sz w:val="20"/>
        </w:rPr>
        <w:t>mluvou, pravidlami opísanými v</w:t>
      </w:r>
      <w:r w:rsidR="002E22D2">
        <w:rPr>
          <w:color w:val="auto"/>
          <w:sz w:val="20"/>
        </w:rPr>
        <w:t xml:space="preserve"> doménovom </w:t>
      </w:r>
      <w:r w:rsidRPr="00177786">
        <w:rPr>
          <w:color w:val="auto"/>
          <w:sz w:val="20"/>
        </w:rPr>
        <w:t>protokole a všetkými platnými technickými požiadavkami a zúčastnené strany nebudú v primeranej lehote namietať</w:t>
      </w:r>
      <w:r w:rsidR="00253204" w:rsidRPr="00177786">
        <w:rPr>
          <w:color w:val="auto"/>
          <w:sz w:val="20"/>
        </w:rPr>
        <w:t>,</w:t>
      </w:r>
      <w:r w:rsidRPr="00177786">
        <w:rPr>
          <w:color w:val="auto"/>
          <w:sz w:val="20"/>
        </w:rPr>
        <w:t xml:space="preserve"> </w:t>
      </w:r>
      <w:r w:rsidR="00253204" w:rsidRPr="00177786">
        <w:rPr>
          <w:color w:val="auto"/>
          <w:sz w:val="20"/>
        </w:rPr>
        <w:t>že transakcia bola akýmkoľvek spôsobom chybná</w:t>
      </w:r>
      <w:r w:rsidRPr="00177786">
        <w:rPr>
          <w:color w:val="auto"/>
          <w:sz w:val="20"/>
        </w:rPr>
        <w:t>, účastník trhu v dobrej viere akceptuje právne dôsledky z nej vyplývajúce.</w:t>
      </w:r>
    </w:p>
    <w:p w14:paraId="76971207" w14:textId="45A160E3" w:rsidR="00A72B3E" w:rsidRPr="008D506F" w:rsidRDefault="00492588" w:rsidP="005A1BA8">
      <w:pPr>
        <w:pStyle w:val="Default"/>
        <w:spacing w:after="120"/>
        <w:jc w:val="both"/>
        <w:rPr>
          <w:i/>
          <w:iCs/>
          <w:color w:val="auto"/>
          <w:sz w:val="20"/>
          <w:szCs w:val="20"/>
        </w:rPr>
      </w:pPr>
      <w:r w:rsidRPr="008D506F">
        <w:rPr>
          <w:i/>
          <w:iCs/>
          <w:color w:val="auto"/>
          <w:sz w:val="20"/>
          <w:szCs w:val="20"/>
        </w:rPr>
        <w:t>Where Transactions are performed upon the request of The Market Participant or involving The Market Participant, in accordance with this Contract, the rules described in the Domain Protocol and all applicable technical requirements, and the Parties involved do not claim in due time that the Transaction was in any way erroneous, The Market Participant shall in good faith accept the legal consequences of such Transaction.</w:t>
      </w:r>
    </w:p>
    <w:p w14:paraId="507B8A75" w14:textId="77777777" w:rsidR="00A54A53" w:rsidRDefault="00A54A53" w:rsidP="004126A0">
      <w:pPr>
        <w:pStyle w:val="CM8"/>
        <w:keepNext/>
        <w:widowControl/>
        <w:spacing w:before="360" w:after="120"/>
        <w:ind w:left="851" w:hanging="567"/>
        <w:jc w:val="both"/>
        <w:rPr>
          <w:b/>
          <w:sz w:val="32"/>
        </w:rPr>
      </w:pPr>
    </w:p>
    <w:p w14:paraId="1C9B9553" w14:textId="381D5CCF" w:rsidR="002E6164" w:rsidRPr="008D506F" w:rsidRDefault="002E6164" w:rsidP="004126A0">
      <w:pPr>
        <w:pStyle w:val="CM8"/>
        <w:keepNext/>
        <w:widowControl/>
        <w:spacing w:before="360" w:after="120"/>
        <w:ind w:left="851" w:hanging="567"/>
        <w:jc w:val="both"/>
        <w:rPr>
          <w:b/>
          <w:bCs/>
          <w:i/>
          <w:iCs/>
          <w:sz w:val="32"/>
          <w:szCs w:val="32"/>
        </w:rPr>
      </w:pPr>
      <w:r w:rsidRPr="00177786">
        <w:rPr>
          <w:b/>
          <w:sz w:val="32"/>
        </w:rPr>
        <w:t>3.</w:t>
      </w:r>
      <w:r w:rsidR="00FC1698" w:rsidRPr="00177786">
        <w:rPr>
          <w:b/>
          <w:sz w:val="32"/>
        </w:rPr>
        <w:tab/>
      </w:r>
      <w:r w:rsidRPr="00177786">
        <w:rPr>
          <w:b/>
          <w:sz w:val="32"/>
        </w:rPr>
        <w:t>Dodržiavanie pravidiel opísaných v</w:t>
      </w:r>
      <w:r w:rsidR="002E22D2">
        <w:rPr>
          <w:b/>
          <w:sz w:val="32"/>
        </w:rPr>
        <w:t xml:space="preserve"> doménovom </w:t>
      </w:r>
      <w:r w:rsidRPr="00177786">
        <w:rPr>
          <w:b/>
          <w:sz w:val="32"/>
        </w:rPr>
        <w:t xml:space="preserve">protokole </w:t>
      </w:r>
      <w:r w:rsidR="00FC1698" w:rsidRPr="00177786">
        <w:rPr>
          <w:b/>
          <w:sz w:val="32"/>
        </w:rPr>
        <w:br/>
      </w:r>
      <w:r w:rsidR="00FC1698" w:rsidRPr="008D506F">
        <w:rPr>
          <w:b/>
          <w:bCs/>
          <w:i/>
          <w:iCs/>
          <w:sz w:val="32"/>
          <w:szCs w:val="32"/>
        </w:rPr>
        <w:t>Compliance with the rules described in the Domain Protocol</w:t>
      </w:r>
    </w:p>
    <w:p w14:paraId="0D2C790B" w14:textId="66324A96" w:rsidR="009F6C29" w:rsidRPr="00177786" w:rsidRDefault="002E6164" w:rsidP="005A1BA8">
      <w:pPr>
        <w:pStyle w:val="CM4"/>
        <w:spacing w:after="120" w:line="240" w:lineRule="auto"/>
        <w:jc w:val="both"/>
        <w:rPr>
          <w:rFonts w:asciiTheme="minorBidi" w:hAnsiTheme="minorBidi"/>
          <w:sz w:val="20"/>
        </w:rPr>
      </w:pPr>
      <w:r w:rsidRPr="00177786">
        <w:rPr>
          <w:rFonts w:asciiTheme="minorBidi" w:hAnsiTheme="minorBidi"/>
          <w:sz w:val="20"/>
        </w:rPr>
        <w:t xml:space="preserve">Registrované osoby výrobných zariadení získavajú nárok na získanie certifikátov záruky pôvodu (GO) v rámci konkrétneho legislatívneho certifikačného systému podľa </w:t>
      </w:r>
      <w:r w:rsidR="00FD4939">
        <w:rPr>
          <w:rFonts w:asciiTheme="minorBidi" w:hAnsiTheme="minorBidi"/>
          <w:sz w:val="20"/>
        </w:rPr>
        <w:t>štandardu</w:t>
      </w:r>
      <w:r w:rsidR="00FD4939" w:rsidRPr="00177786">
        <w:rPr>
          <w:rFonts w:asciiTheme="minorBidi" w:hAnsiTheme="minorBidi"/>
          <w:sz w:val="20"/>
        </w:rPr>
        <w:t xml:space="preserve"> </w:t>
      </w:r>
      <w:r w:rsidRPr="00177786">
        <w:rPr>
          <w:rFonts w:asciiTheme="minorBidi" w:hAnsiTheme="minorBidi"/>
          <w:sz w:val="20"/>
        </w:rPr>
        <w:t xml:space="preserve">EECS alebo SK GAS tým, že sa zmluvne zaviažu zodpovednému orgánu v príslušnej doméne (podľa </w:t>
      </w:r>
      <w:r w:rsidR="002E22D2">
        <w:rPr>
          <w:rFonts w:asciiTheme="minorBidi" w:hAnsiTheme="minorBidi"/>
          <w:sz w:val="20"/>
        </w:rPr>
        <w:t>V</w:t>
      </w:r>
      <w:r w:rsidRPr="00177786">
        <w:rPr>
          <w:rFonts w:asciiTheme="minorBidi" w:hAnsiTheme="minorBidi"/>
          <w:sz w:val="20"/>
        </w:rPr>
        <w:t>šeobecných obchodných podmienok spoločnosti SPP – distribúcia, a.s.) dodržiavať pravidlá opísané v</w:t>
      </w:r>
      <w:r w:rsidR="002E22D2">
        <w:rPr>
          <w:rFonts w:asciiTheme="minorBidi" w:hAnsiTheme="minorBidi"/>
          <w:sz w:val="20"/>
        </w:rPr>
        <w:t xml:space="preserve"> doménovom </w:t>
      </w:r>
      <w:r w:rsidRPr="00177786">
        <w:rPr>
          <w:rFonts w:asciiTheme="minorBidi" w:hAnsiTheme="minorBidi"/>
          <w:sz w:val="20"/>
        </w:rPr>
        <w:t xml:space="preserve">protokole. Na registrovanú osobu sa vzťahujú aj </w:t>
      </w:r>
      <w:r w:rsidRPr="00177786">
        <w:rPr>
          <w:rFonts w:asciiTheme="minorBidi" w:hAnsiTheme="minorBidi"/>
          <w:sz w:val="20"/>
        </w:rPr>
        <w:lastRenderedPageBreak/>
        <w:t xml:space="preserve">platné právne predpisy. V prípade rozporu medzi </w:t>
      </w:r>
      <w:r w:rsidR="002E22D2">
        <w:rPr>
          <w:rFonts w:asciiTheme="minorBidi" w:hAnsiTheme="minorBidi"/>
          <w:sz w:val="20"/>
        </w:rPr>
        <w:t xml:space="preserve">doménovým </w:t>
      </w:r>
      <w:r w:rsidRPr="00177786">
        <w:rPr>
          <w:rFonts w:asciiTheme="minorBidi" w:hAnsiTheme="minorBidi"/>
          <w:sz w:val="20"/>
        </w:rPr>
        <w:t>protokolom a podmienkami má prednosť protokol.</w:t>
      </w:r>
    </w:p>
    <w:p w14:paraId="782C0976" w14:textId="4688E7AC" w:rsidR="00A83E83" w:rsidRPr="008D506F" w:rsidRDefault="00B272A4" w:rsidP="00CC6B1F">
      <w:pPr>
        <w:pStyle w:val="CM4"/>
        <w:spacing w:after="120" w:line="240" w:lineRule="auto"/>
        <w:jc w:val="both"/>
        <w:rPr>
          <w:rFonts w:asciiTheme="minorBidi" w:hAnsiTheme="minorBidi" w:cstheme="minorBidi"/>
          <w:i/>
          <w:iCs/>
          <w:sz w:val="20"/>
          <w:szCs w:val="20"/>
        </w:rPr>
      </w:pPr>
      <w:r w:rsidRPr="008D506F">
        <w:rPr>
          <w:rFonts w:asciiTheme="minorBidi" w:hAnsiTheme="minorBidi" w:cstheme="minorBidi"/>
          <w:i/>
          <w:iCs/>
          <w:sz w:val="20"/>
          <w:szCs w:val="20"/>
        </w:rPr>
        <w:t>Registrants of Production Devices become eligible to receive Guarantee of Origin (GO) Certificates under a specific Legislative Certification Scheme in the EECS or SK GAS standard by contractually committing themselves with the Competent Body responsible for the relevant Domain (under SPP - distribúcia, a.s.’s Standard Terms and Conditions) to comply with the rules described in the Domain Protocol. The Registrant will also be subject to applicable legislation. In case of conflict between the Domain Protocol and the terms and conditions the former shall prevail.</w:t>
      </w:r>
    </w:p>
    <w:p w14:paraId="79915AD1" w14:textId="77777777" w:rsidR="009F6C29" w:rsidRPr="00177786" w:rsidRDefault="00A83E83" w:rsidP="00CC6B1F">
      <w:pPr>
        <w:jc w:val="both"/>
        <w:rPr>
          <w:rFonts w:asciiTheme="minorBidi" w:hAnsiTheme="minorBidi"/>
          <w:sz w:val="20"/>
        </w:rPr>
      </w:pPr>
      <w:bookmarkStart w:id="0" w:name="_Hlk219453482"/>
      <w:r w:rsidRPr="00177786">
        <w:rPr>
          <w:rFonts w:asciiTheme="minorBidi" w:hAnsiTheme="minorBidi"/>
          <w:sz w:val="20"/>
        </w:rPr>
        <w:t>Spoločnosť SPP – distribúcia, a.s., je oprávnená vydávať GO v rámci týchto schém:</w:t>
      </w:r>
    </w:p>
    <w:p w14:paraId="061EADA0" w14:textId="077A4AB9" w:rsidR="005A1BA8" w:rsidRPr="008D506F" w:rsidRDefault="005A1BA8" w:rsidP="00CC6B1F">
      <w:pPr>
        <w:jc w:val="both"/>
        <w:rPr>
          <w:rFonts w:asciiTheme="minorBidi" w:hAnsiTheme="minorBidi" w:cstheme="minorBidi"/>
          <w:i/>
          <w:iCs/>
          <w:sz w:val="20"/>
          <w:szCs w:val="20"/>
        </w:rPr>
      </w:pPr>
      <w:r w:rsidRPr="008D506F">
        <w:rPr>
          <w:rFonts w:asciiTheme="minorBidi" w:hAnsiTheme="minorBidi" w:cstheme="minorBidi"/>
          <w:i/>
          <w:iCs/>
          <w:sz w:val="20"/>
          <w:szCs w:val="20"/>
        </w:rPr>
        <w:t>SPP – distribúcia, a.s. is authorised to issue GOs under the following schemes:</w:t>
      </w:r>
    </w:p>
    <w:p w14:paraId="60043DDD" w14:textId="4D69EF88" w:rsidR="009F6C29" w:rsidRPr="00177786" w:rsidRDefault="002E22D2" w:rsidP="00CC6B1F">
      <w:pPr>
        <w:pStyle w:val="Odsekzoznamu"/>
        <w:numPr>
          <w:ilvl w:val="0"/>
          <w:numId w:val="4"/>
        </w:numPr>
        <w:spacing w:after="0" w:line="256" w:lineRule="auto"/>
        <w:contextualSpacing w:val="0"/>
        <w:jc w:val="both"/>
        <w:rPr>
          <w:rFonts w:asciiTheme="minorBidi" w:hAnsiTheme="minorBidi" w:cstheme="minorBidi"/>
          <w:sz w:val="20"/>
          <w:szCs w:val="20"/>
        </w:rPr>
      </w:pPr>
      <w:r>
        <w:rPr>
          <w:rFonts w:asciiTheme="minorBidi" w:hAnsiTheme="minorBidi"/>
          <w:sz w:val="20"/>
        </w:rPr>
        <w:t>štandard</w:t>
      </w:r>
      <w:r w:rsidRPr="00177786">
        <w:rPr>
          <w:rFonts w:asciiTheme="minorBidi" w:hAnsiTheme="minorBidi"/>
          <w:sz w:val="20"/>
        </w:rPr>
        <w:t xml:space="preserve"> </w:t>
      </w:r>
      <w:r w:rsidR="00A83E83" w:rsidRPr="00177786">
        <w:rPr>
          <w:rFonts w:asciiTheme="minorBidi" w:hAnsiTheme="minorBidi"/>
          <w:sz w:val="20"/>
        </w:rPr>
        <w:t xml:space="preserve">EECS, </w:t>
      </w:r>
      <w:r w:rsidR="00F61E6B" w:rsidRPr="00177786">
        <w:rPr>
          <w:rFonts w:asciiTheme="minorBidi" w:hAnsiTheme="minorBidi"/>
          <w:sz w:val="20"/>
        </w:rPr>
        <w:t>ktor</w:t>
      </w:r>
      <w:r>
        <w:rPr>
          <w:rFonts w:asciiTheme="minorBidi" w:hAnsiTheme="minorBidi"/>
          <w:sz w:val="20"/>
        </w:rPr>
        <w:t>ý</w:t>
      </w:r>
      <w:r w:rsidR="00F61E6B" w:rsidRPr="00177786">
        <w:rPr>
          <w:rFonts w:asciiTheme="minorBidi" w:hAnsiTheme="minorBidi"/>
          <w:sz w:val="20"/>
        </w:rPr>
        <w:t xml:space="preserve"> </w:t>
      </w:r>
      <w:r w:rsidR="00A83E83" w:rsidRPr="00177786">
        <w:rPr>
          <w:rFonts w:asciiTheme="minorBidi" w:hAnsiTheme="minorBidi"/>
          <w:sz w:val="20"/>
        </w:rPr>
        <w:t xml:space="preserve">sa môže prenášať len prostredníctvom komunikačného </w:t>
      </w:r>
      <w:r>
        <w:rPr>
          <w:rFonts w:asciiTheme="minorBidi" w:hAnsiTheme="minorBidi"/>
          <w:sz w:val="20"/>
        </w:rPr>
        <w:t>Hubu</w:t>
      </w:r>
      <w:r w:rsidRPr="00177786">
        <w:rPr>
          <w:rFonts w:asciiTheme="minorBidi" w:hAnsiTheme="minorBidi"/>
          <w:sz w:val="20"/>
        </w:rPr>
        <w:t xml:space="preserve"> </w:t>
      </w:r>
      <w:r w:rsidR="00A83E83" w:rsidRPr="00177786">
        <w:rPr>
          <w:rFonts w:asciiTheme="minorBidi" w:hAnsiTheme="minorBidi"/>
          <w:sz w:val="20"/>
        </w:rPr>
        <w:t>AIB,</w:t>
      </w:r>
    </w:p>
    <w:p w14:paraId="2778F249" w14:textId="7822898F" w:rsidR="00A83E83" w:rsidRPr="008D506F" w:rsidRDefault="00B40A4E" w:rsidP="00CC6B1F">
      <w:pPr>
        <w:pStyle w:val="Odsekzoznamu"/>
        <w:spacing w:line="256" w:lineRule="auto"/>
        <w:contextualSpacing w:val="0"/>
        <w:jc w:val="both"/>
        <w:rPr>
          <w:rFonts w:asciiTheme="minorBidi" w:hAnsiTheme="minorBidi" w:cstheme="minorBidi"/>
          <w:sz w:val="20"/>
          <w:szCs w:val="20"/>
        </w:rPr>
      </w:pPr>
      <w:r w:rsidRPr="008D506F">
        <w:rPr>
          <w:rFonts w:asciiTheme="minorBidi" w:hAnsiTheme="minorBidi" w:cstheme="minorBidi"/>
          <w:i/>
          <w:iCs/>
          <w:sz w:val="20"/>
          <w:szCs w:val="20"/>
        </w:rPr>
        <w:t>EECS Standard, which may be transferred through the AIB Gas Hub only;</w:t>
      </w:r>
    </w:p>
    <w:p w14:paraId="2F8B5424" w14:textId="0C31A6E9" w:rsidR="009F6C29" w:rsidRPr="00177786" w:rsidRDefault="002E22D2" w:rsidP="00CC6B1F">
      <w:pPr>
        <w:pStyle w:val="Odsekzoznamu"/>
        <w:numPr>
          <w:ilvl w:val="0"/>
          <w:numId w:val="4"/>
        </w:numPr>
        <w:spacing w:after="0" w:line="257" w:lineRule="auto"/>
        <w:ind w:left="714" w:hanging="357"/>
        <w:contextualSpacing w:val="0"/>
        <w:jc w:val="both"/>
        <w:rPr>
          <w:rFonts w:asciiTheme="minorBidi" w:hAnsiTheme="minorBidi" w:cstheme="minorBidi"/>
          <w:sz w:val="20"/>
          <w:szCs w:val="20"/>
        </w:rPr>
      </w:pPr>
      <w:r>
        <w:rPr>
          <w:rFonts w:asciiTheme="minorBidi" w:hAnsiTheme="minorBidi"/>
          <w:sz w:val="20"/>
        </w:rPr>
        <w:t>štandard</w:t>
      </w:r>
      <w:r w:rsidRPr="00177786">
        <w:rPr>
          <w:rFonts w:asciiTheme="minorBidi" w:hAnsiTheme="minorBidi"/>
          <w:sz w:val="20"/>
        </w:rPr>
        <w:t xml:space="preserve"> </w:t>
      </w:r>
      <w:r w:rsidR="00A83E83" w:rsidRPr="00177786">
        <w:rPr>
          <w:rFonts w:asciiTheme="minorBidi" w:hAnsiTheme="minorBidi"/>
          <w:sz w:val="20"/>
        </w:rPr>
        <w:t xml:space="preserve">SK GAS, </w:t>
      </w:r>
      <w:r w:rsidR="00F61E6B" w:rsidRPr="00177786">
        <w:rPr>
          <w:rFonts w:asciiTheme="minorBidi" w:hAnsiTheme="minorBidi"/>
          <w:sz w:val="20"/>
        </w:rPr>
        <w:t>ktor</w:t>
      </w:r>
      <w:r>
        <w:rPr>
          <w:rFonts w:asciiTheme="minorBidi" w:hAnsiTheme="minorBidi"/>
          <w:sz w:val="20"/>
        </w:rPr>
        <w:t>ý</w:t>
      </w:r>
      <w:r w:rsidR="00F61E6B" w:rsidRPr="00177786">
        <w:rPr>
          <w:rFonts w:asciiTheme="minorBidi" w:hAnsiTheme="minorBidi"/>
          <w:sz w:val="20"/>
        </w:rPr>
        <w:t xml:space="preserve"> </w:t>
      </w:r>
      <w:r w:rsidR="00A83E83" w:rsidRPr="00177786">
        <w:rPr>
          <w:rFonts w:asciiTheme="minorBidi" w:hAnsiTheme="minorBidi"/>
          <w:sz w:val="20"/>
        </w:rPr>
        <w:t xml:space="preserve">sa </w:t>
      </w:r>
      <w:r w:rsidR="00F61E6B" w:rsidRPr="00177786">
        <w:rPr>
          <w:rFonts w:asciiTheme="minorBidi" w:hAnsiTheme="minorBidi"/>
          <w:sz w:val="20"/>
        </w:rPr>
        <w:t xml:space="preserve">môže </w:t>
      </w:r>
      <w:r w:rsidR="00A83E83" w:rsidRPr="00177786">
        <w:rPr>
          <w:rFonts w:asciiTheme="minorBidi" w:hAnsiTheme="minorBidi"/>
          <w:sz w:val="20"/>
        </w:rPr>
        <w:t xml:space="preserve">prenášať len prostredníctvom komunikačného </w:t>
      </w:r>
      <w:r>
        <w:rPr>
          <w:rFonts w:asciiTheme="minorBidi" w:hAnsiTheme="minorBidi"/>
          <w:sz w:val="20"/>
        </w:rPr>
        <w:t>Hubu</w:t>
      </w:r>
      <w:r w:rsidRPr="00177786">
        <w:rPr>
          <w:rFonts w:asciiTheme="minorBidi" w:hAnsiTheme="minorBidi"/>
          <w:sz w:val="20"/>
        </w:rPr>
        <w:t xml:space="preserve"> </w:t>
      </w:r>
      <w:r w:rsidR="00A83E83" w:rsidRPr="00177786">
        <w:rPr>
          <w:rFonts w:asciiTheme="minorBidi" w:hAnsiTheme="minorBidi"/>
          <w:sz w:val="20"/>
        </w:rPr>
        <w:t>ERGaR.</w:t>
      </w:r>
    </w:p>
    <w:p w14:paraId="65F39004" w14:textId="5958679A" w:rsidR="00A83E83" w:rsidRPr="008D506F" w:rsidRDefault="006949B3" w:rsidP="00F61E6B">
      <w:pPr>
        <w:pStyle w:val="Odsekzoznamu"/>
        <w:spacing w:line="257" w:lineRule="auto"/>
        <w:ind w:left="714"/>
        <w:contextualSpacing w:val="0"/>
        <w:jc w:val="both"/>
        <w:rPr>
          <w:rFonts w:asciiTheme="minorBidi" w:hAnsiTheme="minorBidi" w:cstheme="minorBidi"/>
          <w:sz w:val="20"/>
          <w:szCs w:val="20"/>
        </w:rPr>
      </w:pPr>
      <w:r w:rsidRPr="008D506F">
        <w:rPr>
          <w:rFonts w:asciiTheme="minorBidi" w:hAnsiTheme="minorBidi" w:cstheme="minorBidi"/>
          <w:i/>
          <w:iCs/>
          <w:sz w:val="20"/>
          <w:szCs w:val="20"/>
        </w:rPr>
        <w:t>SK GAS Standard, which may be transferred through the ERGaR Hub only.</w:t>
      </w:r>
    </w:p>
    <w:p w14:paraId="6E7292F4" w14:textId="67DD0345" w:rsidR="009F6C29" w:rsidRPr="00177786" w:rsidRDefault="00A83E83" w:rsidP="00CC6B1F">
      <w:pPr>
        <w:jc w:val="both"/>
        <w:rPr>
          <w:rFonts w:asciiTheme="minorBidi" w:hAnsiTheme="minorBidi"/>
          <w:sz w:val="20"/>
        </w:rPr>
      </w:pPr>
      <w:r w:rsidRPr="00177786">
        <w:rPr>
          <w:rFonts w:asciiTheme="minorBidi" w:hAnsiTheme="minorBidi"/>
          <w:sz w:val="20"/>
        </w:rPr>
        <w:t xml:space="preserve">Počas prechodného obdobia 24 mesiacov budú GO EECS a SK GAS GO existovať </w:t>
      </w:r>
      <w:r w:rsidR="002E22D2">
        <w:rPr>
          <w:rFonts w:asciiTheme="minorBidi" w:hAnsiTheme="minorBidi"/>
          <w:sz w:val="20"/>
        </w:rPr>
        <w:t>súbežne</w:t>
      </w:r>
      <w:r w:rsidRPr="00177786">
        <w:rPr>
          <w:rFonts w:asciiTheme="minorBidi" w:hAnsiTheme="minorBidi"/>
          <w:sz w:val="20"/>
        </w:rPr>
        <w:t>.</w:t>
      </w:r>
      <w:bookmarkStart w:id="1" w:name="_Hlk219458408"/>
    </w:p>
    <w:p w14:paraId="2EA0AF8A" w14:textId="00B30279" w:rsidR="00810168" w:rsidRPr="008D506F" w:rsidRDefault="00026DBC" w:rsidP="00CC6B1F">
      <w:pPr>
        <w:jc w:val="both"/>
        <w:rPr>
          <w:rFonts w:asciiTheme="minorBidi" w:hAnsiTheme="minorBidi" w:cstheme="minorBidi"/>
          <w:sz w:val="20"/>
          <w:szCs w:val="20"/>
        </w:rPr>
      </w:pPr>
      <w:r w:rsidRPr="008D506F">
        <w:rPr>
          <w:rFonts w:asciiTheme="minorBidi" w:hAnsiTheme="minorBidi" w:cstheme="minorBidi"/>
          <w:i/>
          <w:iCs/>
          <w:sz w:val="20"/>
          <w:szCs w:val="20"/>
        </w:rPr>
        <w:t>For a transitional period of 24 months, EECS GOs and SK GAS GOs will coexist.</w:t>
      </w:r>
    </w:p>
    <w:p w14:paraId="07B60642" w14:textId="77777777" w:rsidR="009F6C29" w:rsidRPr="00177786" w:rsidRDefault="00A83E83" w:rsidP="00CC6B1F">
      <w:pPr>
        <w:jc w:val="both"/>
        <w:rPr>
          <w:rFonts w:asciiTheme="minorBidi" w:hAnsiTheme="minorBidi"/>
          <w:sz w:val="20"/>
        </w:rPr>
      </w:pPr>
      <w:r w:rsidRPr="00177786">
        <w:rPr>
          <w:rFonts w:asciiTheme="minorBidi" w:hAnsiTheme="minorBidi"/>
          <w:sz w:val="20"/>
        </w:rPr>
        <w:t>To znamená, že:</w:t>
      </w:r>
    </w:p>
    <w:p w14:paraId="414BB453" w14:textId="0F6A9A81" w:rsidR="00A83E83" w:rsidRPr="008D506F" w:rsidRDefault="00FD2BE0" w:rsidP="00CC6B1F">
      <w:pPr>
        <w:jc w:val="both"/>
        <w:rPr>
          <w:rFonts w:asciiTheme="minorBidi" w:hAnsiTheme="minorBidi" w:cstheme="minorBidi"/>
          <w:sz w:val="20"/>
          <w:szCs w:val="20"/>
        </w:rPr>
      </w:pPr>
      <w:r w:rsidRPr="008D506F">
        <w:rPr>
          <w:rFonts w:asciiTheme="minorBidi" w:hAnsiTheme="minorBidi" w:cstheme="minorBidi"/>
          <w:i/>
          <w:iCs/>
          <w:sz w:val="20"/>
          <w:szCs w:val="20"/>
        </w:rPr>
        <w:t>This means that:</w:t>
      </w:r>
    </w:p>
    <w:p w14:paraId="1E69E78B" w14:textId="24D36AF9" w:rsidR="009F6C29" w:rsidRPr="00177786" w:rsidRDefault="00A83E83" w:rsidP="00CC6B1F">
      <w:pPr>
        <w:pStyle w:val="Odsekzoznamu"/>
        <w:numPr>
          <w:ilvl w:val="0"/>
          <w:numId w:val="4"/>
        </w:numPr>
        <w:spacing w:after="0" w:line="256" w:lineRule="auto"/>
        <w:contextualSpacing w:val="0"/>
        <w:jc w:val="both"/>
        <w:rPr>
          <w:rFonts w:asciiTheme="minorBidi" w:hAnsiTheme="minorBidi" w:cstheme="minorBidi"/>
          <w:sz w:val="20"/>
          <w:szCs w:val="20"/>
        </w:rPr>
      </w:pPr>
      <w:r w:rsidRPr="00177786">
        <w:rPr>
          <w:rFonts w:asciiTheme="minorBidi" w:hAnsiTheme="minorBidi"/>
          <w:sz w:val="20"/>
        </w:rPr>
        <w:t>komunikačn</w:t>
      </w:r>
      <w:r w:rsidR="002E22D2">
        <w:rPr>
          <w:rFonts w:asciiTheme="minorBidi" w:hAnsiTheme="minorBidi"/>
          <w:sz w:val="20"/>
        </w:rPr>
        <w:t xml:space="preserve">ý Hub </w:t>
      </w:r>
      <w:r w:rsidRPr="00177786">
        <w:rPr>
          <w:rFonts w:asciiTheme="minorBidi" w:hAnsiTheme="minorBidi"/>
          <w:sz w:val="20"/>
        </w:rPr>
        <w:t xml:space="preserve">AIB sa </w:t>
      </w:r>
      <w:r w:rsidR="00C227E5" w:rsidRPr="00177786">
        <w:rPr>
          <w:rFonts w:asciiTheme="minorBidi" w:hAnsiTheme="minorBidi"/>
          <w:sz w:val="20"/>
        </w:rPr>
        <w:t xml:space="preserve">bude </w:t>
      </w:r>
      <w:r w:rsidRPr="00177786">
        <w:rPr>
          <w:rFonts w:asciiTheme="minorBidi" w:hAnsiTheme="minorBidi"/>
          <w:sz w:val="20"/>
        </w:rPr>
        <w:t>používa</w:t>
      </w:r>
      <w:r w:rsidR="00C227E5" w:rsidRPr="00177786">
        <w:rPr>
          <w:rFonts w:asciiTheme="minorBidi" w:hAnsiTheme="minorBidi"/>
          <w:sz w:val="20"/>
        </w:rPr>
        <w:t>ť</w:t>
      </w:r>
      <w:r w:rsidRPr="00177786">
        <w:rPr>
          <w:rFonts w:asciiTheme="minorBidi" w:hAnsiTheme="minorBidi"/>
          <w:sz w:val="20"/>
        </w:rPr>
        <w:t xml:space="preserve"> na medzinárodné prevody GO EECS a</w:t>
      </w:r>
    </w:p>
    <w:p w14:paraId="10519D36" w14:textId="352D1ACD" w:rsidR="00A83E83" w:rsidRPr="008D506F" w:rsidRDefault="007075B9" w:rsidP="00C227E5">
      <w:pPr>
        <w:pStyle w:val="Odsekzoznamu"/>
        <w:spacing w:line="256" w:lineRule="auto"/>
        <w:contextualSpacing w:val="0"/>
        <w:jc w:val="both"/>
        <w:rPr>
          <w:rFonts w:asciiTheme="minorBidi" w:hAnsiTheme="minorBidi" w:cstheme="minorBidi"/>
          <w:i/>
          <w:iCs/>
          <w:sz w:val="20"/>
          <w:szCs w:val="20"/>
        </w:rPr>
      </w:pPr>
      <w:r w:rsidRPr="008D506F">
        <w:rPr>
          <w:rFonts w:asciiTheme="minorBidi" w:hAnsiTheme="minorBidi" w:cstheme="minorBidi"/>
          <w:i/>
          <w:iCs/>
          <w:sz w:val="20"/>
          <w:szCs w:val="20"/>
        </w:rPr>
        <w:t>the AIB Hub shall be used for international transfers of EECS GOs, and</w:t>
      </w:r>
    </w:p>
    <w:p w14:paraId="1D15834E" w14:textId="5DBBA46D" w:rsidR="009F6C29" w:rsidRPr="00177786" w:rsidRDefault="002E22D2" w:rsidP="00CC6B1F">
      <w:pPr>
        <w:pStyle w:val="Odsekzoznamu"/>
        <w:numPr>
          <w:ilvl w:val="0"/>
          <w:numId w:val="4"/>
        </w:numPr>
        <w:spacing w:after="0" w:line="256" w:lineRule="auto"/>
        <w:contextualSpacing w:val="0"/>
        <w:jc w:val="both"/>
        <w:rPr>
          <w:rFonts w:asciiTheme="minorBidi" w:hAnsiTheme="minorBidi" w:cstheme="minorBidi"/>
          <w:sz w:val="20"/>
          <w:szCs w:val="20"/>
        </w:rPr>
      </w:pPr>
      <w:r w:rsidRPr="00177786">
        <w:rPr>
          <w:rFonts w:asciiTheme="minorBidi" w:hAnsiTheme="minorBidi"/>
          <w:sz w:val="20"/>
        </w:rPr>
        <w:t>komunikačn</w:t>
      </w:r>
      <w:r>
        <w:rPr>
          <w:rFonts w:asciiTheme="minorBidi" w:hAnsiTheme="minorBidi"/>
          <w:sz w:val="20"/>
        </w:rPr>
        <w:t xml:space="preserve">ý Hub </w:t>
      </w:r>
      <w:r w:rsidR="00A83E83" w:rsidRPr="00177786">
        <w:rPr>
          <w:rFonts w:asciiTheme="minorBidi" w:hAnsiTheme="minorBidi"/>
          <w:sz w:val="20"/>
        </w:rPr>
        <w:t xml:space="preserve">ERGaR sa </w:t>
      </w:r>
      <w:r w:rsidR="00C227E5" w:rsidRPr="00177786">
        <w:rPr>
          <w:rFonts w:asciiTheme="minorBidi" w:hAnsiTheme="minorBidi"/>
          <w:sz w:val="20"/>
        </w:rPr>
        <w:t xml:space="preserve">bude </w:t>
      </w:r>
      <w:r w:rsidR="00A83E83" w:rsidRPr="00177786">
        <w:rPr>
          <w:rFonts w:asciiTheme="minorBidi" w:hAnsiTheme="minorBidi"/>
          <w:sz w:val="20"/>
        </w:rPr>
        <w:t>používa</w:t>
      </w:r>
      <w:r w:rsidR="00C227E5" w:rsidRPr="00177786">
        <w:rPr>
          <w:rFonts w:asciiTheme="minorBidi" w:hAnsiTheme="minorBidi"/>
          <w:sz w:val="20"/>
        </w:rPr>
        <w:t>ť</w:t>
      </w:r>
      <w:r w:rsidR="00A83E83" w:rsidRPr="00177786">
        <w:rPr>
          <w:rFonts w:asciiTheme="minorBidi" w:hAnsiTheme="minorBidi"/>
          <w:sz w:val="20"/>
        </w:rPr>
        <w:t xml:space="preserve"> na medzinárodné prevody GO SK GAS.</w:t>
      </w:r>
    </w:p>
    <w:p w14:paraId="2608D7EB" w14:textId="5A5229AC" w:rsidR="00A83E83" w:rsidRPr="008D506F" w:rsidRDefault="00B169F2" w:rsidP="00CC6B1F">
      <w:pPr>
        <w:pStyle w:val="Odsekzoznamu"/>
        <w:spacing w:line="256" w:lineRule="auto"/>
        <w:contextualSpacing w:val="0"/>
        <w:jc w:val="both"/>
        <w:rPr>
          <w:rFonts w:asciiTheme="minorBidi" w:hAnsiTheme="minorBidi" w:cstheme="minorBidi"/>
          <w:sz w:val="20"/>
          <w:szCs w:val="20"/>
        </w:rPr>
      </w:pPr>
      <w:r w:rsidRPr="008D506F">
        <w:rPr>
          <w:rFonts w:asciiTheme="minorBidi" w:hAnsiTheme="minorBidi" w:cstheme="minorBidi"/>
          <w:i/>
          <w:iCs/>
          <w:sz w:val="20"/>
          <w:szCs w:val="20"/>
        </w:rPr>
        <w:t>the ERGaR Hub shall be used for international transfers of SK GAS GOs.</w:t>
      </w:r>
    </w:p>
    <w:bookmarkEnd w:id="0"/>
    <w:p w14:paraId="6AD98CDA" w14:textId="01CA13CD" w:rsidR="00A53D59" w:rsidRPr="00177786" w:rsidRDefault="00A83E83" w:rsidP="00600722">
      <w:pPr>
        <w:keepNext/>
        <w:jc w:val="both"/>
        <w:rPr>
          <w:rFonts w:asciiTheme="minorBidi" w:hAnsiTheme="minorBidi"/>
          <w:sz w:val="20"/>
        </w:rPr>
      </w:pPr>
      <w:r w:rsidRPr="00177786">
        <w:rPr>
          <w:rFonts w:asciiTheme="minorBidi" w:hAnsiTheme="minorBidi"/>
          <w:sz w:val="20"/>
        </w:rPr>
        <w:t xml:space="preserve">Táto povolená </w:t>
      </w:r>
      <w:r w:rsidR="0088451E">
        <w:rPr>
          <w:rFonts w:asciiTheme="minorBidi" w:hAnsiTheme="minorBidi"/>
          <w:sz w:val="20"/>
        </w:rPr>
        <w:t>výnimka</w:t>
      </w:r>
      <w:r w:rsidR="0088451E" w:rsidRPr="00177786">
        <w:rPr>
          <w:rFonts w:asciiTheme="minorBidi" w:hAnsiTheme="minorBidi"/>
          <w:sz w:val="20"/>
        </w:rPr>
        <w:t xml:space="preserve"> </w:t>
      </w:r>
      <w:r w:rsidRPr="00177786">
        <w:rPr>
          <w:rFonts w:asciiTheme="minorBidi" w:hAnsiTheme="minorBidi"/>
          <w:sz w:val="20"/>
        </w:rPr>
        <w:t>sa môže obnoviť len po schválení predstavenstvom AIB na základe odporúčania Skupiny plynárensk</w:t>
      </w:r>
      <w:r w:rsidR="002E22D2">
        <w:rPr>
          <w:rFonts w:asciiTheme="minorBidi" w:hAnsiTheme="minorBidi"/>
          <w:sz w:val="20"/>
        </w:rPr>
        <w:t>ej schémy</w:t>
      </w:r>
      <w:r w:rsidRPr="00177786">
        <w:rPr>
          <w:rFonts w:asciiTheme="minorBidi" w:hAnsiTheme="minorBidi"/>
          <w:sz w:val="20"/>
        </w:rPr>
        <w:t xml:space="preserve"> (GSG), a to najneskôr 24 mesiacov po pôvodnom schválení.</w:t>
      </w:r>
    </w:p>
    <w:p w14:paraId="3C5007CC" w14:textId="5DED1207" w:rsidR="00A83E83" w:rsidRPr="008D506F" w:rsidRDefault="003B31C9" w:rsidP="00CC6B1F">
      <w:pPr>
        <w:jc w:val="both"/>
        <w:rPr>
          <w:rFonts w:asciiTheme="minorBidi" w:hAnsiTheme="minorBidi" w:cstheme="minorBidi"/>
          <w:sz w:val="20"/>
          <w:szCs w:val="20"/>
        </w:rPr>
      </w:pPr>
      <w:r w:rsidRPr="008D506F">
        <w:rPr>
          <w:rFonts w:asciiTheme="minorBidi" w:hAnsiTheme="minorBidi" w:cstheme="minorBidi"/>
          <w:i/>
          <w:iCs/>
          <w:sz w:val="20"/>
          <w:szCs w:val="20"/>
        </w:rPr>
        <w:t>This permitted deviation may be renewed only upon AIB Board approval, following advice from the Gas Scheme Group (GSG), and no later than 24 months after the initial approval.</w:t>
      </w:r>
    </w:p>
    <w:bookmarkEnd w:id="1"/>
    <w:p w14:paraId="6A4BCA4E" w14:textId="2FCB4E7D" w:rsidR="00A53D59" w:rsidRPr="00177786" w:rsidRDefault="00A83E83" w:rsidP="00CC6B1F">
      <w:pPr>
        <w:jc w:val="both"/>
        <w:rPr>
          <w:rFonts w:asciiTheme="minorBidi" w:hAnsiTheme="minorBidi"/>
          <w:sz w:val="20"/>
        </w:rPr>
      </w:pPr>
      <w:r w:rsidRPr="00177786">
        <w:rPr>
          <w:rFonts w:asciiTheme="minorBidi" w:hAnsiTheme="minorBidi"/>
          <w:sz w:val="20"/>
        </w:rPr>
        <w:t>Každé výrobné zariadenie môže vydávať GO len podľa jedn</w:t>
      </w:r>
      <w:r w:rsidR="002E22D2">
        <w:rPr>
          <w:rFonts w:asciiTheme="minorBidi" w:hAnsiTheme="minorBidi"/>
          <w:sz w:val="20"/>
        </w:rPr>
        <w:t xml:space="preserve">ého štandardu </w:t>
      </w:r>
      <w:r w:rsidRPr="00177786">
        <w:rPr>
          <w:rFonts w:asciiTheme="minorBidi" w:hAnsiTheme="minorBidi"/>
          <w:sz w:val="20"/>
        </w:rPr>
        <w:t xml:space="preserve">na jedno výrobné obdobie (mesiac). Zmena </w:t>
      </w:r>
      <w:r w:rsidR="002E22D2">
        <w:rPr>
          <w:rFonts w:asciiTheme="minorBidi" w:hAnsiTheme="minorBidi"/>
          <w:sz w:val="20"/>
        </w:rPr>
        <w:t>štandardu</w:t>
      </w:r>
      <w:r w:rsidR="002E22D2" w:rsidRPr="00177786">
        <w:rPr>
          <w:rFonts w:asciiTheme="minorBidi" w:hAnsiTheme="minorBidi"/>
          <w:sz w:val="20"/>
        </w:rPr>
        <w:t xml:space="preserve"> </w:t>
      </w:r>
      <w:r w:rsidRPr="00177786">
        <w:rPr>
          <w:rFonts w:asciiTheme="minorBidi" w:hAnsiTheme="minorBidi"/>
          <w:sz w:val="20"/>
        </w:rPr>
        <w:t>výrobného zariadenia si vyžaduje úpravu jeho licencie.</w:t>
      </w:r>
    </w:p>
    <w:p w14:paraId="6547E424" w14:textId="3629526C" w:rsidR="00A83E83" w:rsidRPr="008D506F" w:rsidRDefault="008045B7" w:rsidP="00CC6B1F">
      <w:pPr>
        <w:jc w:val="both"/>
        <w:rPr>
          <w:rFonts w:asciiTheme="minorBidi" w:hAnsiTheme="minorBidi" w:cstheme="minorBidi"/>
          <w:sz w:val="20"/>
          <w:szCs w:val="20"/>
        </w:rPr>
      </w:pPr>
      <w:r w:rsidRPr="008D506F">
        <w:rPr>
          <w:rFonts w:asciiTheme="minorBidi" w:hAnsiTheme="minorBidi" w:cstheme="minorBidi"/>
          <w:i/>
          <w:iCs/>
          <w:sz w:val="20"/>
          <w:szCs w:val="20"/>
        </w:rPr>
        <w:t>Each Production Device may issue GOs under only one standard per production period (month). Changing the standard of a Production Device requires a modification of its license.</w:t>
      </w:r>
    </w:p>
    <w:p w14:paraId="01578B40" w14:textId="0817422B" w:rsidR="00A53D59" w:rsidRPr="00177786" w:rsidRDefault="002E22D2" w:rsidP="00CC6B1F">
      <w:pPr>
        <w:jc w:val="both"/>
        <w:rPr>
          <w:rFonts w:asciiTheme="minorBidi" w:hAnsiTheme="minorBidi"/>
          <w:sz w:val="20"/>
        </w:rPr>
      </w:pPr>
      <w:r>
        <w:rPr>
          <w:rFonts w:asciiTheme="minorBidi" w:hAnsiTheme="minorBidi"/>
          <w:sz w:val="20"/>
        </w:rPr>
        <w:t>Import</w:t>
      </w:r>
      <w:r w:rsidRPr="00177786">
        <w:rPr>
          <w:rFonts w:asciiTheme="minorBidi" w:hAnsiTheme="minorBidi"/>
          <w:sz w:val="20"/>
        </w:rPr>
        <w:t xml:space="preserve"> </w:t>
      </w:r>
      <w:r w:rsidR="00A83E83" w:rsidRPr="00177786">
        <w:rPr>
          <w:rFonts w:asciiTheme="minorBidi" w:hAnsiTheme="minorBidi"/>
          <w:sz w:val="20"/>
        </w:rPr>
        <w:t>GO cez komunikačn</w:t>
      </w:r>
      <w:r>
        <w:rPr>
          <w:rFonts w:asciiTheme="minorBidi" w:hAnsiTheme="minorBidi"/>
          <w:sz w:val="20"/>
        </w:rPr>
        <w:t xml:space="preserve">ý Hub </w:t>
      </w:r>
      <w:r w:rsidR="00A83E83" w:rsidRPr="00177786">
        <w:rPr>
          <w:rFonts w:asciiTheme="minorBidi" w:hAnsiTheme="minorBidi"/>
          <w:sz w:val="20"/>
        </w:rPr>
        <w:t xml:space="preserve">ERGaR je povolený len v prípade takých záruk pôvodu, ktoré vydali zodpovedné orgány zákonne vymenované členskými štátmi EÚ (napr. ENERGINET v Dánsku, pokiaľ nie je účastníkom komunikačného </w:t>
      </w:r>
      <w:r>
        <w:rPr>
          <w:rFonts w:asciiTheme="minorBidi" w:hAnsiTheme="minorBidi"/>
          <w:sz w:val="20"/>
        </w:rPr>
        <w:t>Hubu</w:t>
      </w:r>
      <w:r w:rsidRPr="00177786">
        <w:rPr>
          <w:rFonts w:asciiTheme="minorBidi" w:hAnsiTheme="minorBidi"/>
          <w:sz w:val="20"/>
        </w:rPr>
        <w:t xml:space="preserve"> </w:t>
      </w:r>
      <w:r w:rsidR="00A83E83" w:rsidRPr="00177786">
        <w:rPr>
          <w:rFonts w:asciiTheme="minorBidi" w:hAnsiTheme="minorBidi"/>
          <w:sz w:val="20"/>
        </w:rPr>
        <w:t>AIB Gas).</w:t>
      </w:r>
    </w:p>
    <w:p w14:paraId="12081A6A" w14:textId="3A30E896" w:rsidR="00A83E83" w:rsidRPr="008D506F" w:rsidRDefault="00F1013F" w:rsidP="00CC6B1F">
      <w:pPr>
        <w:jc w:val="both"/>
        <w:rPr>
          <w:rFonts w:asciiTheme="minorBidi" w:hAnsiTheme="minorBidi" w:cstheme="minorBidi"/>
          <w:sz w:val="20"/>
          <w:szCs w:val="20"/>
        </w:rPr>
      </w:pPr>
      <w:r w:rsidRPr="008D506F">
        <w:rPr>
          <w:rFonts w:asciiTheme="minorBidi" w:hAnsiTheme="minorBidi" w:cstheme="minorBidi"/>
          <w:i/>
          <w:iCs/>
          <w:sz w:val="20"/>
          <w:szCs w:val="20"/>
        </w:rPr>
        <w:t>Imports of GOs via the ERGaR Hub are permitted only for non-EECS GOs issued by Competent Bodies that have been legally appointed by EU Member States (e.g. ENERGINET in Denmark, for as long as they are not an AIB Gas Hub Participant).</w:t>
      </w:r>
    </w:p>
    <w:p w14:paraId="351D4E88" w14:textId="13059FD8" w:rsidR="00A53D59" w:rsidRPr="00177786" w:rsidRDefault="002E22D2" w:rsidP="00CC6B1F">
      <w:pPr>
        <w:jc w:val="both"/>
        <w:rPr>
          <w:rFonts w:asciiTheme="minorBidi" w:hAnsiTheme="minorBidi"/>
          <w:sz w:val="20"/>
        </w:rPr>
      </w:pPr>
      <w:r>
        <w:rPr>
          <w:rFonts w:asciiTheme="minorBidi" w:hAnsiTheme="minorBidi"/>
          <w:sz w:val="20"/>
        </w:rPr>
        <w:lastRenderedPageBreak/>
        <w:t>Export</w:t>
      </w:r>
      <w:r w:rsidRPr="00177786">
        <w:rPr>
          <w:rFonts w:asciiTheme="minorBidi" w:hAnsiTheme="minorBidi"/>
          <w:sz w:val="20"/>
        </w:rPr>
        <w:t xml:space="preserve"> </w:t>
      </w:r>
      <w:r w:rsidR="00A83E83" w:rsidRPr="00177786">
        <w:rPr>
          <w:rFonts w:asciiTheme="minorBidi" w:hAnsiTheme="minorBidi"/>
          <w:sz w:val="20"/>
        </w:rPr>
        <w:t xml:space="preserve">záruky pôvodu SK GAS do </w:t>
      </w:r>
      <w:r>
        <w:rPr>
          <w:rFonts w:asciiTheme="minorBidi" w:hAnsiTheme="minorBidi"/>
          <w:sz w:val="20"/>
        </w:rPr>
        <w:t>domény</w:t>
      </w:r>
      <w:r w:rsidR="00A83E83" w:rsidRPr="00177786">
        <w:rPr>
          <w:rFonts w:asciiTheme="minorBidi" w:hAnsiTheme="minorBidi"/>
          <w:sz w:val="20"/>
        </w:rPr>
        <w:t xml:space="preserve">, ktorá už má určený zodpovedný orgán pre ten istý energetický nosič a je účastníkom komunikačného </w:t>
      </w:r>
      <w:r>
        <w:rPr>
          <w:rFonts w:asciiTheme="minorBidi" w:hAnsiTheme="minorBidi"/>
          <w:sz w:val="20"/>
        </w:rPr>
        <w:t>Hubu</w:t>
      </w:r>
      <w:r w:rsidRPr="00177786">
        <w:rPr>
          <w:rFonts w:asciiTheme="minorBidi" w:hAnsiTheme="minorBidi"/>
          <w:sz w:val="20"/>
        </w:rPr>
        <w:t xml:space="preserve"> </w:t>
      </w:r>
      <w:r w:rsidR="00A83E83" w:rsidRPr="00177786">
        <w:rPr>
          <w:rFonts w:asciiTheme="minorBidi" w:hAnsiTheme="minorBidi"/>
          <w:sz w:val="20"/>
        </w:rPr>
        <w:t>AIB Gas, nie je povolený (napr. AGCS v Rakúsku).</w:t>
      </w:r>
    </w:p>
    <w:p w14:paraId="5BEA061C" w14:textId="27BDBD8B" w:rsidR="00A83E83" w:rsidRPr="008D506F" w:rsidRDefault="00A260B7" w:rsidP="00CC6B1F">
      <w:pPr>
        <w:jc w:val="both"/>
        <w:rPr>
          <w:rFonts w:asciiTheme="minorBidi" w:hAnsiTheme="minorBidi" w:cstheme="minorBidi"/>
          <w:sz w:val="20"/>
          <w:szCs w:val="20"/>
        </w:rPr>
      </w:pPr>
      <w:r w:rsidRPr="008D506F">
        <w:rPr>
          <w:rFonts w:asciiTheme="minorBidi" w:hAnsiTheme="minorBidi" w:cstheme="minorBidi"/>
          <w:i/>
          <w:iCs/>
          <w:sz w:val="20"/>
          <w:szCs w:val="20"/>
        </w:rPr>
        <w:t>Exports of SK GAS GOs to a Domain that already has an appointed Competent Body for the same energy carrier and is an AIB Gas Hub participant are not permitted (e.g. AGCS in Austria).</w:t>
      </w:r>
    </w:p>
    <w:p w14:paraId="0C56506C" w14:textId="7F633B6F" w:rsidR="00A53D59" w:rsidRPr="00177786" w:rsidRDefault="00946A4B" w:rsidP="00CC6B1F">
      <w:pPr>
        <w:jc w:val="both"/>
        <w:rPr>
          <w:rFonts w:asciiTheme="minorBidi" w:hAnsiTheme="minorBidi"/>
          <w:sz w:val="20"/>
        </w:rPr>
      </w:pPr>
      <w:r w:rsidRPr="00177786">
        <w:rPr>
          <w:rFonts w:asciiTheme="minorBidi" w:hAnsiTheme="minorBidi"/>
          <w:sz w:val="20"/>
        </w:rPr>
        <w:t>Architektúra registra technicky znemožňuje prenos GO EECS cez komunikačn</w:t>
      </w:r>
      <w:r w:rsidR="002E22D2">
        <w:rPr>
          <w:rFonts w:asciiTheme="minorBidi" w:hAnsiTheme="minorBidi"/>
          <w:sz w:val="20"/>
        </w:rPr>
        <w:t xml:space="preserve">ý Hub </w:t>
      </w:r>
      <w:r w:rsidRPr="00177786">
        <w:rPr>
          <w:rFonts w:asciiTheme="minorBidi" w:hAnsiTheme="minorBidi"/>
          <w:sz w:val="20"/>
        </w:rPr>
        <w:t xml:space="preserve">ERGaR a GO, ktoré nie sú EECS alebo </w:t>
      </w:r>
      <w:r w:rsidR="001A079C">
        <w:rPr>
          <w:rFonts w:asciiTheme="minorBidi" w:hAnsiTheme="minorBidi"/>
          <w:sz w:val="20"/>
        </w:rPr>
        <w:t xml:space="preserve">sú </w:t>
      </w:r>
      <w:r w:rsidRPr="00177786">
        <w:rPr>
          <w:rFonts w:asciiTheme="minorBidi" w:hAnsiTheme="minorBidi"/>
          <w:sz w:val="20"/>
        </w:rPr>
        <w:t>SK GAS, cez komunikačn</w:t>
      </w:r>
      <w:r w:rsidR="001A079C">
        <w:rPr>
          <w:rFonts w:asciiTheme="minorBidi" w:hAnsiTheme="minorBidi"/>
          <w:sz w:val="20"/>
        </w:rPr>
        <w:t xml:space="preserve">ý Hub </w:t>
      </w:r>
      <w:r w:rsidRPr="00177786">
        <w:rPr>
          <w:rFonts w:asciiTheme="minorBidi" w:hAnsiTheme="minorBidi"/>
          <w:sz w:val="20"/>
        </w:rPr>
        <w:t>AIB.</w:t>
      </w:r>
    </w:p>
    <w:p w14:paraId="76CD3A37" w14:textId="6D31033E" w:rsidR="00946A4B" w:rsidRPr="008D506F" w:rsidRDefault="00F02473" w:rsidP="00CC6B1F">
      <w:pPr>
        <w:jc w:val="both"/>
        <w:rPr>
          <w:rFonts w:asciiTheme="minorBidi" w:hAnsiTheme="minorBidi" w:cstheme="minorBidi"/>
          <w:sz w:val="20"/>
          <w:szCs w:val="20"/>
        </w:rPr>
      </w:pPr>
      <w:r w:rsidRPr="008D506F">
        <w:rPr>
          <w:rFonts w:asciiTheme="minorBidi" w:hAnsiTheme="minorBidi" w:cstheme="minorBidi"/>
          <w:i/>
          <w:iCs/>
          <w:sz w:val="20"/>
          <w:szCs w:val="20"/>
        </w:rPr>
        <w:t>The Registry architecture makes it technically impossible to transfer EECS GOs through the ERGaR Hub and non-EECS GOs or SK GAS GOs through the AIB Hub.</w:t>
      </w:r>
    </w:p>
    <w:p w14:paraId="5AA81565" w14:textId="2843AFF6" w:rsidR="00A53D59" w:rsidRPr="00177786" w:rsidRDefault="001A079C" w:rsidP="00CC6B1F">
      <w:pPr>
        <w:jc w:val="both"/>
        <w:rPr>
          <w:rFonts w:asciiTheme="minorBidi" w:hAnsiTheme="minorBidi"/>
          <w:sz w:val="20"/>
        </w:rPr>
      </w:pPr>
      <w:r>
        <w:rPr>
          <w:rFonts w:asciiTheme="minorBidi" w:hAnsiTheme="minorBidi"/>
          <w:sz w:val="20"/>
        </w:rPr>
        <w:t>Import</w:t>
      </w:r>
      <w:r w:rsidRPr="00177786">
        <w:rPr>
          <w:rFonts w:asciiTheme="minorBidi" w:hAnsiTheme="minorBidi"/>
          <w:sz w:val="20"/>
        </w:rPr>
        <w:t xml:space="preserve"> </w:t>
      </w:r>
      <w:r w:rsidR="00A83E83" w:rsidRPr="00177786">
        <w:rPr>
          <w:rFonts w:asciiTheme="minorBidi" w:hAnsiTheme="minorBidi"/>
          <w:sz w:val="20"/>
        </w:rPr>
        <w:t xml:space="preserve">GO vydaných v tretích krajinách mimo EÚ nie je povolený, pretože v súčasnosti neexistuje dohoda o vzájomnom uznávaní medzi EÚ a takýmito tretími krajinami (napr. </w:t>
      </w:r>
      <w:r>
        <w:rPr>
          <w:rFonts w:asciiTheme="minorBidi" w:hAnsiTheme="minorBidi"/>
          <w:sz w:val="20"/>
        </w:rPr>
        <w:t>vydávajúce orgány</w:t>
      </w:r>
      <w:r w:rsidRPr="00177786">
        <w:rPr>
          <w:rFonts w:asciiTheme="minorBidi" w:hAnsiTheme="minorBidi"/>
          <w:sz w:val="20"/>
        </w:rPr>
        <w:t xml:space="preserve"> </w:t>
      </w:r>
      <w:r w:rsidR="00A83E83" w:rsidRPr="00177786">
        <w:rPr>
          <w:rFonts w:asciiTheme="minorBidi" w:hAnsiTheme="minorBidi"/>
          <w:sz w:val="20"/>
        </w:rPr>
        <w:t>v Spojenom kráľovstve alebo Švajčiarsku).</w:t>
      </w:r>
    </w:p>
    <w:p w14:paraId="50A7C231" w14:textId="560A0D2B" w:rsidR="00CF55A3" w:rsidRPr="008D506F" w:rsidRDefault="00EB1A00" w:rsidP="00CC6B1F">
      <w:pPr>
        <w:jc w:val="both"/>
        <w:rPr>
          <w:rFonts w:asciiTheme="minorBidi" w:hAnsiTheme="minorBidi" w:cstheme="minorBidi"/>
          <w:sz w:val="20"/>
          <w:szCs w:val="20"/>
        </w:rPr>
      </w:pPr>
      <w:r w:rsidRPr="008D506F">
        <w:rPr>
          <w:rFonts w:asciiTheme="minorBidi" w:hAnsiTheme="minorBidi" w:cstheme="minorBidi"/>
          <w:i/>
          <w:iCs/>
          <w:sz w:val="20"/>
          <w:szCs w:val="20"/>
        </w:rPr>
        <w:t>Imports of GOs issued in third countries outside the EU are not allowed, as there is currently no mutual recognition agreement between the EU and such third countries (e.g. IBs in the United Kingdom or Switzerland).</w:t>
      </w:r>
    </w:p>
    <w:p w14:paraId="2E771B9C" w14:textId="77777777" w:rsidR="00A54A53" w:rsidRDefault="00A54A53" w:rsidP="009F6C29">
      <w:pPr>
        <w:pStyle w:val="CM8"/>
        <w:keepNext/>
        <w:widowControl/>
        <w:spacing w:before="360" w:after="120"/>
        <w:ind w:left="851" w:hanging="567"/>
        <w:jc w:val="both"/>
        <w:rPr>
          <w:b/>
          <w:sz w:val="32"/>
        </w:rPr>
      </w:pPr>
    </w:p>
    <w:p w14:paraId="2E900FEB" w14:textId="35343236" w:rsidR="002E6164" w:rsidRPr="008D506F" w:rsidRDefault="002E6164" w:rsidP="009F6C29">
      <w:pPr>
        <w:pStyle w:val="CM8"/>
        <w:keepNext/>
        <w:widowControl/>
        <w:spacing w:before="360" w:after="120"/>
        <w:ind w:left="851" w:hanging="567"/>
        <w:jc w:val="both"/>
        <w:rPr>
          <w:b/>
          <w:bCs/>
          <w:sz w:val="32"/>
          <w:szCs w:val="32"/>
        </w:rPr>
      </w:pPr>
      <w:r w:rsidRPr="00177786">
        <w:rPr>
          <w:b/>
          <w:sz w:val="32"/>
        </w:rPr>
        <w:t>4.</w:t>
      </w:r>
      <w:r w:rsidR="009F6C29" w:rsidRPr="00177786">
        <w:rPr>
          <w:b/>
          <w:sz w:val="32"/>
        </w:rPr>
        <w:tab/>
      </w:r>
      <w:r w:rsidRPr="00177786">
        <w:rPr>
          <w:b/>
          <w:sz w:val="32"/>
        </w:rPr>
        <w:t>Povinnosti</w:t>
      </w:r>
      <w:r w:rsidR="009F6C29" w:rsidRPr="00177786">
        <w:rPr>
          <w:b/>
          <w:sz w:val="32"/>
        </w:rPr>
        <w:br/>
      </w:r>
      <w:r w:rsidR="009F6C29" w:rsidRPr="008D506F">
        <w:rPr>
          <w:b/>
          <w:bCs/>
          <w:i/>
          <w:iCs/>
          <w:sz w:val="32"/>
          <w:szCs w:val="32"/>
        </w:rPr>
        <w:t>Obligations</w:t>
      </w:r>
    </w:p>
    <w:p w14:paraId="3A64D4AC" w14:textId="4F882F29" w:rsidR="006C5325" w:rsidRPr="00177786" w:rsidRDefault="002E6164" w:rsidP="00322897">
      <w:pPr>
        <w:pStyle w:val="CM4"/>
        <w:spacing w:after="120" w:line="240" w:lineRule="auto"/>
        <w:jc w:val="both"/>
        <w:rPr>
          <w:sz w:val="20"/>
        </w:rPr>
      </w:pPr>
      <w:r w:rsidRPr="00177786">
        <w:rPr>
          <w:sz w:val="20"/>
        </w:rPr>
        <w:t xml:space="preserve">Každá zmluvná strana prispeje k plneniu tejto </w:t>
      </w:r>
      <w:r w:rsidR="001A079C">
        <w:rPr>
          <w:sz w:val="20"/>
        </w:rPr>
        <w:t>Z</w:t>
      </w:r>
      <w:r w:rsidRPr="00177786">
        <w:rPr>
          <w:sz w:val="20"/>
        </w:rPr>
        <w:t xml:space="preserve">mluvy v takom rozsahu, že si obe zmluvné strany bezodkladne poskytnú všetky potrebné informácie, ktoré si uplatňovanie tejto </w:t>
      </w:r>
      <w:r w:rsidR="001A079C">
        <w:rPr>
          <w:sz w:val="20"/>
        </w:rPr>
        <w:t>Z</w:t>
      </w:r>
      <w:r w:rsidRPr="00177786">
        <w:rPr>
          <w:sz w:val="20"/>
        </w:rPr>
        <w:t>mluvy vyžaduje. Ak prevádzka výrobného zariadenia účastníka trhu prestane byť v súlade s nahl</w:t>
      </w:r>
      <w:r w:rsidR="001A079C">
        <w:rPr>
          <w:sz w:val="20"/>
        </w:rPr>
        <w:t>asovanými</w:t>
      </w:r>
      <w:r w:rsidRPr="00177786">
        <w:rPr>
          <w:sz w:val="20"/>
        </w:rPr>
        <w:t xml:space="preserve"> informáciami, účastník trhu o tejto zmene bezodkladne informuje spoločnosť SPP – distribúcia, a.s.</w:t>
      </w:r>
    </w:p>
    <w:p w14:paraId="67BF717A" w14:textId="72C994F8" w:rsidR="002E6164" w:rsidRPr="008D506F" w:rsidRDefault="006C5325" w:rsidP="00322897">
      <w:pPr>
        <w:pStyle w:val="CM4"/>
        <w:spacing w:after="120" w:line="240" w:lineRule="auto"/>
        <w:jc w:val="both"/>
        <w:rPr>
          <w:i/>
          <w:iCs/>
          <w:sz w:val="20"/>
          <w:szCs w:val="20"/>
        </w:rPr>
      </w:pPr>
      <w:r w:rsidRPr="008D506F">
        <w:rPr>
          <w:i/>
          <w:iCs/>
          <w:sz w:val="20"/>
          <w:szCs w:val="20"/>
        </w:rPr>
        <w:t>Each party shall contribute to the implementation of this Contract, to the extent that both parties shall provide each other without delay all necessary information required by the application of this Contract. If the operation of a Production Device of The Market Participant no longer conforms to the reported information, The Market Participant shall inform SPP - distribúcia, a.s. immediately about the change.</w:t>
      </w:r>
    </w:p>
    <w:p w14:paraId="51AC8BB2" w14:textId="77777777" w:rsidR="00196516" w:rsidRPr="00177786" w:rsidRDefault="00CF55A3" w:rsidP="00196516">
      <w:pPr>
        <w:pStyle w:val="CM4"/>
        <w:keepNext/>
        <w:keepLines/>
        <w:spacing w:after="120" w:line="240" w:lineRule="auto"/>
        <w:jc w:val="both"/>
        <w:rPr>
          <w:sz w:val="20"/>
        </w:rPr>
      </w:pPr>
      <w:r w:rsidRPr="00177786">
        <w:rPr>
          <w:sz w:val="20"/>
        </w:rPr>
        <w:t>S cieľom minimalizovať riziko dvojitého započítania v súvislosti s prevodmi medzi registrami prostredníctvom platformy ERGaR má účastník trhu aj tieto povinnosti:</w:t>
      </w:r>
    </w:p>
    <w:p w14:paraId="5A4E25AE" w14:textId="0D88BC4D" w:rsidR="00CF55A3" w:rsidRPr="008D506F" w:rsidRDefault="00196516" w:rsidP="006A3B98">
      <w:pPr>
        <w:pStyle w:val="CM4"/>
        <w:spacing w:after="120" w:line="240" w:lineRule="auto"/>
        <w:jc w:val="both"/>
        <w:rPr>
          <w:i/>
          <w:iCs/>
          <w:sz w:val="20"/>
          <w:szCs w:val="20"/>
        </w:rPr>
      </w:pPr>
      <w:r w:rsidRPr="008D506F">
        <w:rPr>
          <w:i/>
          <w:iCs/>
          <w:sz w:val="20"/>
          <w:szCs w:val="20"/>
        </w:rPr>
        <w:t>In order to minimise the risk of double counting in the context of cross registry transfers via the ERGaR platform, the Market Participant shall also have the following obligations:</w:t>
      </w:r>
    </w:p>
    <w:p w14:paraId="77466461" w14:textId="3686073F" w:rsidR="004004C3" w:rsidRPr="008D506F" w:rsidRDefault="00CF55A3" w:rsidP="004004C3">
      <w:pPr>
        <w:pStyle w:val="Default"/>
        <w:numPr>
          <w:ilvl w:val="0"/>
          <w:numId w:val="7"/>
        </w:numPr>
        <w:jc w:val="both"/>
        <w:rPr>
          <w:color w:val="auto"/>
          <w:sz w:val="20"/>
          <w:szCs w:val="20"/>
        </w:rPr>
      </w:pPr>
      <w:r w:rsidRPr="00177786">
        <w:rPr>
          <w:color w:val="auto"/>
          <w:sz w:val="20"/>
        </w:rPr>
        <w:t xml:space="preserve">Účastník trhu prostredníctvom zmluvných podmienok a primeraného monitorovania zabezpečí, aby všetky GO, ktoré nie sú </w:t>
      </w:r>
      <w:r w:rsidR="001A079C">
        <w:rPr>
          <w:color w:val="auto"/>
          <w:sz w:val="20"/>
        </w:rPr>
        <w:t>v štandarde</w:t>
      </w:r>
      <w:r w:rsidR="001A079C" w:rsidRPr="00177786">
        <w:rPr>
          <w:color w:val="auto"/>
          <w:sz w:val="20"/>
        </w:rPr>
        <w:t xml:space="preserve"> </w:t>
      </w:r>
      <w:r w:rsidRPr="00177786">
        <w:rPr>
          <w:color w:val="auto"/>
          <w:sz w:val="20"/>
        </w:rPr>
        <w:t>EECS, exportované prostredníctvom registračnej databázy príjemcovi v inej doméne prostredníctvom platformy ERGaR boli pridelené výlučne na spotrebu v doméne, do ktorej sú priamo exportované.</w:t>
      </w:r>
    </w:p>
    <w:p w14:paraId="013CC173" w14:textId="4EC85A8B" w:rsidR="005018BB" w:rsidRPr="008D506F" w:rsidRDefault="004004C3" w:rsidP="004004C3">
      <w:pPr>
        <w:pStyle w:val="Default"/>
        <w:spacing w:after="240"/>
        <w:ind w:left="720"/>
        <w:jc w:val="both"/>
        <w:rPr>
          <w:i/>
          <w:iCs/>
          <w:color w:val="auto"/>
          <w:sz w:val="20"/>
          <w:szCs w:val="20"/>
        </w:rPr>
      </w:pPr>
      <w:r w:rsidRPr="008D506F">
        <w:rPr>
          <w:i/>
          <w:iCs/>
          <w:color w:val="auto"/>
          <w:sz w:val="20"/>
          <w:szCs w:val="20"/>
        </w:rPr>
        <w:t>The Market Participant shall, through contractual terms and reasonable monitoring, seek to ensure that any non-EECS GOs exported via the Registration Database to a recipient in another Domain through the ERGaR platform are allocated solely for consumption in the Domain to which they are directly exported.</w:t>
      </w:r>
    </w:p>
    <w:p w14:paraId="32F86314" w14:textId="44DE97E2" w:rsidR="0013198C" w:rsidRPr="00177786" w:rsidRDefault="00CF55A3" w:rsidP="0013198C">
      <w:pPr>
        <w:pStyle w:val="Default"/>
        <w:numPr>
          <w:ilvl w:val="0"/>
          <w:numId w:val="7"/>
        </w:numPr>
        <w:jc w:val="both"/>
        <w:rPr>
          <w:color w:val="auto"/>
        </w:rPr>
      </w:pPr>
      <w:r w:rsidRPr="00177786">
        <w:rPr>
          <w:color w:val="auto"/>
          <w:sz w:val="20"/>
        </w:rPr>
        <w:t xml:space="preserve">Účastník trhu prostredníctvom zmluvných podmienok a primeraného monitorovania zabezpečí, aby sa GO, ktoré nie sú </w:t>
      </w:r>
      <w:r w:rsidR="001A079C">
        <w:rPr>
          <w:color w:val="auto"/>
          <w:sz w:val="20"/>
        </w:rPr>
        <w:t>v štandarde</w:t>
      </w:r>
      <w:r w:rsidR="001A079C" w:rsidRPr="00177786">
        <w:rPr>
          <w:color w:val="auto"/>
          <w:sz w:val="20"/>
        </w:rPr>
        <w:t xml:space="preserve"> </w:t>
      </w:r>
      <w:r w:rsidRPr="00177786">
        <w:rPr>
          <w:color w:val="auto"/>
          <w:sz w:val="20"/>
        </w:rPr>
        <w:t xml:space="preserve">EECS, ďalej nevyvážali ani </w:t>
      </w:r>
      <w:r w:rsidR="001A079C">
        <w:rPr>
          <w:color w:val="auto"/>
          <w:sz w:val="20"/>
        </w:rPr>
        <w:t>neuplatňovali</w:t>
      </w:r>
      <w:r w:rsidR="001A079C" w:rsidRPr="00177786">
        <w:rPr>
          <w:color w:val="auto"/>
          <w:sz w:val="20"/>
        </w:rPr>
        <w:t xml:space="preserve"> </w:t>
      </w:r>
      <w:r w:rsidRPr="00177786">
        <w:rPr>
          <w:color w:val="auto"/>
          <w:sz w:val="20"/>
        </w:rPr>
        <w:t xml:space="preserve">v žiadnej inej doméne okrem tej, do ktorej boli pôvodne </w:t>
      </w:r>
      <w:r w:rsidR="001A079C">
        <w:rPr>
          <w:color w:val="auto"/>
          <w:sz w:val="20"/>
        </w:rPr>
        <w:t>exportované</w:t>
      </w:r>
      <w:r w:rsidR="00253204" w:rsidRPr="00177786">
        <w:rPr>
          <w:color w:val="auto"/>
          <w:sz w:val="20"/>
        </w:rPr>
        <w:t>.</w:t>
      </w:r>
    </w:p>
    <w:p w14:paraId="61CC4783" w14:textId="5258396A" w:rsidR="00002357" w:rsidRPr="008D506F" w:rsidRDefault="0013198C" w:rsidP="0013198C">
      <w:pPr>
        <w:pStyle w:val="Default"/>
        <w:spacing w:after="240"/>
        <w:ind w:left="720"/>
        <w:jc w:val="both"/>
        <w:rPr>
          <w:i/>
          <w:iCs/>
          <w:color w:val="auto"/>
        </w:rPr>
      </w:pPr>
      <w:r w:rsidRPr="008D506F">
        <w:rPr>
          <w:i/>
          <w:iCs/>
          <w:color w:val="auto"/>
          <w:sz w:val="20"/>
        </w:rPr>
        <w:t xml:space="preserve">The Market Participant shall, through contractual terms and reasonable monitoring, seek to ensure that such non-EECS GOs are not further exported or used in any other Domain beyond the one to which they </w:t>
      </w:r>
      <w:r w:rsidRPr="008D506F">
        <w:rPr>
          <w:i/>
          <w:iCs/>
          <w:color w:val="auto"/>
          <w:sz w:val="20"/>
        </w:rPr>
        <w:lastRenderedPageBreak/>
        <w:t>were initially exported.</w:t>
      </w:r>
    </w:p>
    <w:p w14:paraId="71F3BE82" w14:textId="24A66DFC" w:rsidR="00851235" w:rsidRPr="00177786" w:rsidRDefault="00CF55A3" w:rsidP="00851235">
      <w:pPr>
        <w:pStyle w:val="Default"/>
        <w:numPr>
          <w:ilvl w:val="0"/>
          <w:numId w:val="7"/>
        </w:numPr>
        <w:jc w:val="both"/>
        <w:rPr>
          <w:color w:val="auto"/>
        </w:rPr>
      </w:pPr>
      <w:r w:rsidRPr="00177786">
        <w:rPr>
          <w:color w:val="auto"/>
          <w:sz w:val="20"/>
        </w:rPr>
        <w:t>Účastník trhu zahrnie do svojich zmluvných dojednaní s príjemcom GO</w:t>
      </w:r>
      <w:r w:rsidR="001A079C">
        <w:rPr>
          <w:color w:val="auto"/>
          <w:sz w:val="20"/>
        </w:rPr>
        <w:t>,</w:t>
      </w:r>
      <w:r w:rsidRPr="00177786">
        <w:rPr>
          <w:color w:val="auto"/>
          <w:sz w:val="20"/>
        </w:rPr>
        <w:t xml:space="preserve"> </w:t>
      </w:r>
      <w:r w:rsidR="001A079C" w:rsidRPr="00177786">
        <w:rPr>
          <w:color w:val="auto"/>
          <w:sz w:val="20"/>
        </w:rPr>
        <w:t xml:space="preserve">ktoré nie sú </w:t>
      </w:r>
      <w:r w:rsidR="001A079C">
        <w:rPr>
          <w:color w:val="auto"/>
          <w:sz w:val="20"/>
        </w:rPr>
        <w:t>v štandarde</w:t>
      </w:r>
      <w:r w:rsidR="001A079C" w:rsidRPr="00177786">
        <w:rPr>
          <w:color w:val="auto"/>
          <w:sz w:val="20"/>
        </w:rPr>
        <w:t xml:space="preserve"> </w:t>
      </w:r>
      <w:r w:rsidR="001A079C">
        <w:rPr>
          <w:color w:val="auto"/>
          <w:sz w:val="20"/>
        </w:rPr>
        <w:t xml:space="preserve">EECS </w:t>
      </w:r>
      <w:r w:rsidRPr="00177786">
        <w:rPr>
          <w:color w:val="auto"/>
          <w:sz w:val="20"/>
        </w:rPr>
        <w:t xml:space="preserve">– vrátane registrov ERGaR a ich držiteľov účtov a účastníkov trhu – podmienky rovnocenné s podmienkami uvedenými v bodoch 1 a 2. Takéto zmluvné ustanovenia musia výslovne zakázať príjemcovi ďalší </w:t>
      </w:r>
      <w:r w:rsidR="001A079C">
        <w:rPr>
          <w:color w:val="auto"/>
          <w:sz w:val="20"/>
        </w:rPr>
        <w:t>export</w:t>
      </w:r>
      <w:r w:rsidR="001A079C" w:rsidRPr="00177786">
        <w:rPr>
          <w:color w:val="auto"/>
          <w:sz w:val="20"/>
        </w:rPr>
        <w:t xml:space="preserve"> </w:t>
      </w:r>
      <w:r w:rsidRPr="00177786">
        <w:rPr>
          <w:color w:val="auto"/>
          <w:sz w:val="20"/>
        </w:rPr>
        <w:t xml:space="preserve">alebo </w:t>
      </w:r>
      <w:r w:rsidR="001A079C">
        <w:rPr>
          <w:color w:val="auto"/>
          <w:sz w:val="20"/>
        </w:rPr>
        <w:t>uplatňovanie</w:t>
      </w:r>
      <w:r w:rsidR="001A079C" w:rsidRPr="00177786">
        <w:rPr>
          <w:color w:val="auto"/>
          <w:sz w:val="20"/>
        </w:rPr>
        <w:t xml:space="preserve"> </w:t>
      </w:r>
      <w:r w:rsidRPr="00177786">
        <w:rPr>
          <w:color w:val="auto"/>
          <w:sz w:val="20"/>
        </w:rPr>
        <w:t>záruk pôvodu v akejkoľvek inej doméne.</w:t>
      </w:r>
    </w:p>
    <w:p w14:paraId="3FCB9942" w14:textId="5C603590" w:rsidR="00002357" w:rsidRPr="008D506F" w:rsidRDefault="00851235" w:rsidP="00851235">
      <w:pPr>
        <w:pStyle w:val="Default"/>
        <w:spacing w:after="240"/>
        <w:ind w:left="720"/>
        <w:jc w:val="both"/>
        <w:rPr>
          <w:i/>
          <w:iCs/>
          <w:color w:val="auto"/>
        </w:rPr>
      </w:pPr>
      <w:r w:rsidRPr="008D506F">
        <w:rPr>
          <w:i/>
          <w:iCs/>
          <w:color w:val="auto"/>
          <w:sz w:val="20"/>
        </w:rPr>
        <w:t>The Market Participant shall include in its contractual arrangements with the recipient of the non-EECS GOs – including ERGaR registries and their account holders/market parties – equivalent terms to those set out in 1 and 2. Such contractual arrangements shall expressly prohibit the recipient from further exporting or using the Guarantees of Origin in any other Domain.</w:t>
      </w:r>
    </w:p>
    <w:p w14:paraId="2A68801D" w14:textId="77777777" w:rsidR="00F4578B" w:rsidRPr="00177786" w:rsidRDefault="00CF55A3" w:rsidP="00F4578B">
      <w:pPr>
        <w:pStyle w:val="Default"/>
        <w:numPr>
          <w:ilvl w:val="0"/>
          <w:numId w:val="7"/>
        </w:numPr>
        <w:jc w:val="both"/>
        <w:rPr>
          <w:color w:val="auto"/>
          <w:sz w:val="20"/>
          <w:szCs w:val="20"/>
        </w:rPr>
      </w:pPr>
      <w:r w:rsidRPr="00177786">
        <w:rPr>
          <w:color w:val="auto"/>
          <w:sz w:val="20"/>
        </w:rPr>
        <w:t>Spoločnosť SPP – distribúcia, a.s. má právo vykonať u účastníka trhu audit alebo určiť nezávislého audítora na overenie dodržiavania týchto ustanovení.</w:t>
      </w:r>
      <w:r w:rsidRPr="00177786">
        <w:rPr>
          <w:color w:val="auto"/>
          <w:sz w:val="20"/>
        </w:rPr>
        <w:br/>
        <w:t>Účastník trhu zahrnie do svojich zmluvných ustanovení s príjemcom GO rovnocenné právo účastníka trhu vykonať audit alebo požiadať príjemcu o dokumentáciu na ten istý účel.</w:t>
      </w:r>
    </w:p>
    <w:p w14:paraId="43994D02" w14:textId="5DA552DB" w:rsidR="00002357" w:rsidRPr="008D506F" w:rsidRDefault="000A711D" w:rsidP="00F4578B">
      <w:pPr>
        <w:pStyle w:val="Default"/>
        <w:spacing w:after="240"/>
        <w:ind w:left="720"/>
        <w:jc w:val="both"/>
        <w:rPr>
          <w:i/>
          <w:iCs/>
          <w:color w:val="auto"/>
          <w:sz w:val="20"/>
          <w:szCs w:val="20"/>
        </w:rPr>
      </w:pPr>
      <w:r w:rsidRPr="008D506F">
        <w:rPr>
          <w:i/>
          <w:iCs/>
          <w:color w:val="auto"/>
          <w:sz w:val="20"/>
          <w:szCs w:val="20"/>
        </w:rPr>
        <w:t>SPP - distribúcia, a.s. shall have the right to audit the Market Participant, or to appoint an independent auditor, to verify compliance with these clauses.</w:t>
      </w:r>
      <w:r w:rsidR="00F4578B" w:rsidRPr="008D506F">
        <w:rPr>
          <w:i/>
          <w:iCs/>
          <w:color w:val="auto"/>
          <w:sz w:val="20"/>
          <w:szCs w:val="20"/>
        </w:rPr>
        <w:br/>
      </w:r>
      <w:r w:rsidRPr="008D506F">
        <w:rPr>
          <w:i/>
          <w:iCs/>
          <w:color w:val="auto"/>
          <w:sz w:val="20"/>
          <w:szCs w:val="20"/>
        </w:rPr>
        <w:t>The Market Participant shall include in its contractual arrangements with the recipient of the GOs an equivalent right for the Market Participant to audit or request documentation from the recipient for the same purpose.</w:t>
      </w:r>
    </w:p>
    <w:p w14:paraId="09049ECD" w14:textId="72E3BFD5" w:rsidR="00033794" w:rsidRPr="00177786" w:rsidRDefault="00CF55A3" w:rsidP="00033794">
      <w:pPr>
        <w:pStyle w:val="Default"/>
        <w:numPr>
          <w:ilvl w:val="0"/>
          <w:numId w:val="7"/>
        </w:numPr>
        <w:jc w:val="both"/>
        <w:rPr>
          <w:color w:val="auto"/>
          <w:sz w:val="20"/>
          <w:szCs w:val="20"/>
        </w:rPr>
      </w:pPr>
      <w:r w:rsidRPr="00177786">
        <w:rPr>
          <w:color w:val="auto"/>
          <w:sz w:val="20"/>
        </w:rPr>
        <w:t xml:space="preserve">Akékoľvek porušenie týchto povinností zo strany účastníka trhu predstavuje závažné porušenie týchto </w:t>
      </w:r>
      <w:r w:rsidR="001A079C">
        <w:rPr>
          <w:color w:val="auto"/>
          <w:sz w:val="20"/>
        </w:rPr>
        <w:t>V</w:t>
      </w:r>
      <w:r w:rsidRPr="00177786">
        <w:rPr>
          <w:color w:val="auto"/>
          <w:sz w:val="20"/>
        </w:rPr>
        <w:t xml:space="preserve">šeobecných </w:t>
      </w:r>
      <w:r w:rsidR="001A079C">
        <w:rPr>
          <w:color w:val="auto"/>
          <w:sz w:val="20"/>
        </w:rPr>
        <w:t>obchodných</w:t>
      </w:r>
      <w:r w:rsidR="001A079C" w:rsidRPr="00177786">
        <w:rPr>
          <w:color w:val="auto"/>
          <w:sz w:val="20"/>
        </w:rPr>
        <w:t xml:space="preserve"> </w:t>
      </w:r>
      <w:r w:rsidRPr="00177786">
        <w:rPr>
          <w:color w:val="auto"/>
          <w:sz w:val="20"/>
        </w:rPr>
        <w:t>podmienok, za ktoré môže spoločnosť SPP – distribúcia, a.s. prijať primerané nápravné opatrenia vrátane pozastavenia práva účastníka trhu na export prostredníctvom registračnej databázy alebo nahlásenia porušenia príslušným orgánom alebo prevádzkovateľom systému.</w:t>
      </w:r>
    </w:p>
    <w:p w14:paraId="78C524D5" w14:textId="3031FEB1" w:rsidR="00CF55A3" w:rsidRPr="008D506F" w:rsidRDefault="00033794" w:rsidP="00033794">
      <w:pPr>
        <w:pStyle w:val="Default"/>
        <w:spacing w:after="240"/>
        <w:ind w:left="720"/>
        <w:jc w:val="both"/>
        <w:rPr>
          <w:i/>
          <w:iCs/>
          <w:color w:val="auto"/>
          <w:sz w:val="20"/>
          <w:szCs w:val="20"/>
        </w:rPr>
      </w:pPr>
      <w:r w:rsidRPr="008D506F">
        <w:rPr>
          <w:i/>
          <w:iCs/>
          <w:color w:val="auto"/>
          <w:sz w:val="20"/>
          <w:szCs w:val="20"/>
        </w:rPr>
        <w:t>Any breach of these obligations by the Market Participant shall constitute a material breach of these Standard Terms and Conditions for which SPP - distribúcia, a.s. may take appropriate remedial measures, including suspension of the Market Participant’s right to export via the Registration Database, and/or reporting the breach to relevant authorities or system operators.</w:t>
      </w:r>
    </w:p>
    <w:p w14:paraId="4227F324" w14:textId="77777777" w:rsidR="00A54A53" w:rsidRDefault="00A54A53" w:rsidP="003A5064">
      <w:pPr>
        <w:pStyle w:val="CM8"/>
        <w:keepNext/>
        <w:widowControl/>
        <w:spacing w:before="360" w:after="120"/>
        <w:ind w:left="851" w:hanging="567"/>
        <w:jc w:val="both"/>
        <w:rPr>
          <w:b/>
          <w:sz w:val="32"/>
        </w:rPr>
      </w:pPr>
    </w:p>
    <w:p w14:paraId="36713D9F" w14:textId="71ED92DC" w:rsidR="002E6164" w:rsidRPr="008D506F" w:rsidRDefault="002E6164" w:rsidP="003A5064">
      <w:pPr>
        <w:pStyle w:val="CM8"/>
        <w:keepNext/>
        <w:widowControl/>
        <w:spacing w:before="360" w:after="120"/>
        <w:ind w:left="851" w:hanging="567"/>
        <w:jc w:val="both"/>
        <w:rPr>
          <w:b/>
          <w:bCs/>
          <w:sz w:val="32"/>
          <w:szCs w:val="32"/>
        </w:rPr>
      </w:pPr>
      <w:r w:rsidRPr="00177786">
        <w:rPr>
          <w:b/>
          <w:sz w:val="32"/>
        </w:rPr>
        <w:t>5.</w:t>
      </w:r>
      <w:r w:rsidR="003A5064" w:rsidRPr="00177786">
        <w:rPr>
          <w:b/>
          <w:sz w:val="32"/>
        </w:rPr>
        <w:tab/>
      </w:r>
      <w:r w:rsidRPr="00177786">
        <w:rPr>
          <w:b/>
          <w:sz w:val="32"/>
        </w:rPr>
        <w:t>Informačné systémy</w:t>
      </w:r>
      <w:r w:rsidR="003A5064" w:rsidRPr="00177786">
        <w:rPr>
          <w:b/>
          <w:sz w:val="32"/>
        </w:rPr>
        <w:br/>
      </w:r>
      <w:r w:rsidR="003A5064" w:rsidRPr="008D506F">
        <w:rPr>
          <w:b/>
          <w:bCs/>
          <w:i/>
          <w:iCs/>
          <w:sz w:val="32"/>
          <w:szCs w:val="32"/>
        </w:rPr>
        <w:t>Information systems</w:t>
      </w:r>
    </w:p>
    <w:p w14:paraId="48D71F1A" w14:textId="264334CF" w:rsidR="000F4335" w:rsidRPr="00177786" w:rsidRDefault="002B11AA" w:rsidP="000F4335">
      <w:pPr>
        <w:pStyle w:val="CM10"/>
        <w:keepNext/>
        <w:keepLines/>
        <w:spacing w:after="120"/>
        <w:jc w:val="both"/>
        <w:rPr>
          <w:sz w:val="20"/>
        </w:rPr>
      </w:pPr>
      <w:r w:rsidRPr="00177786">
        <w:rPr>
          <w:sz w:val="20"/>
        </w:rPr>
        <w:t>Spoločnosť SPP – distribúcia, a.s. vydáva GO v súlade s</w:t>
      </w:r>
      <w:r w:rsidR="001A079C">
        <w:rPr>
          <w:sz w:val="20"/>
        </w:rPr>
        <w:t xml:space="preserve">o štandardom </w:t>
      </w:r>
      <w:r w:rsidRPr="00177786">
        <w:rPr>
          <w:sz w:val="20"/>
        </w:rPr>
        <w:t>EECS alebo SK GAS prostredníctvom elektronického registra (registračnej databázy).</w:t>
      </w:r>
    </w:p>
    <w:p w14:paraId="3155D09C" w14:textId="307D0FE2" w:rsidR="002E6164" w:rsidRPr="008D506F" w:rsidRDefault="000F4335" w:rsidP="00322897">
      <w:pPr>
        <w:pStyle w:val="CM10"/>
        <w:spacing w:after="120"/>
        <w:jc w:val="both"/>
        <w:rPr>
          <w:i/>
          <w:iCs/>
          <w:sz w:val="20"/>
          <w:szCs w:val="20"/>
        </w:rPr>
      </w:pPr>
      <w:r w:rsidRPr="008D506F">
        <w:rPr>
          <w:i/>
          <w:iCs/>
          <w:sz w:val="20"/>
          <w:szCs w:val="20"/>
        </w:rPr>
        <w:t>SPP - distribúcia, a.s. issues GOs in the EECS or SK GAS standard by using an electronic registry (Registration Database).</w:t>
      </w:r>
    </w:p>
    <w:p w14:paraId="4CA5570B" w14:textId="77777777" w:rsidR="002D25F4" w:rsidRPr="00177786" w:rsidRDefault="00A75F95" w:rsidP="00322897">
      <w:pPr>
        <w:pStyle w:val="CM10"/>
        <w:spacing w:after="120"/>
        <w:jc w:val="both"/>
        <w:rPr>
          <w:sz w:val="20"/>
        </w:rPr>
      </w:pPr>
      <w:r w:rsidRPr="00177786">
        <w:rPr>
          <w:sz w:val="20"/>
        </w:rPr>
        <w:t>Účastník trhu si na vlastné náklady zabezpečí potrebnú architektúru informačných technológií a rozhrania, ktoré potrebuje na používanie registračnej databázy. Účastník trhu zodpovedá za dostatočné a najmodernejšie metódy a technológie, ktoré zabezpečujú bezpečnosť a celistvosť údajov súvisiacich s používaním registračnej databázy.</w:t>
      </w:r>
    </w:p>
    <w:p w14:paraId="4430ADF7" w14:textId="5FBC0F57" w:rsidR="002E6164" w:rsidRPr="008D506F" w:rsidRDefault="002D25F4" w:rsidP="00322897">
      <w:pPr>
        <w:pStyle w:val="CM10"/>
        <w:spacing w:after="120"/>
        <w:jc w:val="both"/>
        <w:rPr>
          <w:i/>
          <w:iCs/>
          <w:sz w:val="20"/>
          <w:szCs w:val="20"/>
        </w:rPr>
      </w:pPr>
      <w:r w:rsidRPr="008D506F">
        <w:rPr>
          <w:i/>
          <w:iCs/>
          <w:sz w:val="20"/>
          <w:szCs w:val="20"/>
        </w:rPr>
        <w:t>The Market Participant shall arrange, at his own cost, the necessary information technology architecture and interfaces which The Market Participant needs in order to use the Registration Database. The Market Participant shall be responsible for sufficient and state of the art methods and technologies that safeguard data security and integrity relating to the use of the Registration Database.</w:t>
      </w:r>
    </w:p>
    <w:p w14:paraId="6D3AD0E7" w14:textId="7B4DA85C" w:rsidR="00BB000B" w:rsidRPr="00177786" w:rsidRDefault="002B11AA" w:rsidP="00322897">
      <w:pPr>
        <w:pStyle w:val="CM10"/>
        <w:spacing w:after="120"/>
        <w:jc w:val="both"/>
        <w:rPr>
          <w:sz w:val="20"/>
        </w:rPr>
      </w:pPr>
      <w:r w:rsidRPr="00177786">
        <w:rPr>
          <w:sz w:val="20"/>
        </w:rPr>
        <w:t xml:space="preserve">Spoločnosť SPP – distribúcia, a.s. má právo zmeniť IT požiadavky na používanie registračnej databázy. Účastník komunikačného </w:t>
      </w:r>
      <w:r w:rsidR="00A30FB4">
        <w:rPr>
          <w:sz w:val="20"/>
        </w:rPr>
        <w:t>Hubu</w:t>
      </w:r>
      <w:r w:rsidR="00A30FB4" w:rsidRPr="00177786">
        <w:rPr>
          <w:sz w:val="20"/>
        </w:rPr>
        <w:t xml:space="preserve"> </w:t>
      </w:r>
      <w:r w:rsidRPr="00177786">
        <w:rPr>
          <w:sz w:val="20"/>
        </w:rPr>
        <w:t>AIB písomne informuje účastníka trhu najmenej 30 kalendárnych dní pred vykonaním podstatných zmien. V naliehavých prípadoch je prípustné vykonať zmeny bez predchádzajúceho upozornenia. Spoločnosť SPP – distribúcia, a.s. potom informuje písomne účastníka trhu čo najskôr po vykonaní zmeny.</w:t>
      </w:r>
    </w:p>
    <w:p w14:paraId="1A8EA68A" w14:textId="4EC16B36" w:rsidR="002E6164" w:rsidRPr="008D506F" w:rsidRDefault="00BB000B" w:rsidP="00322897">
      <w:pPr>
        <w:pStyle w:val="CM10"/>
        <w:spacing w:after="120"/>
        <w:jc w:val="both"/>
        <w:rPr>
          <w:i/>
          <w:iCs/>
          <w:sz w:val="20"/>
          <w:szCs w:val="20"/>
        </w:rPr>
      </w:pPr>
      <w:r w:rsidRPr="008D506F">
        <w:rPr>
          <w:i/>
          <w:iCs/>
          <w:sz w:val="20"/>
          <w:szCs w:val="20"/>
        </w:rPr>
        <w:lastRenderedPageBreak/>
        <w:t>SPP - distribúcia, a.s. has the right to change the IT prerequisites for the use of the Registration Database. The AIB Hub Participant] shall inform The Market Participant in writing at least 30 calendar days prior to the implementation of material changes. In urgent cases changes can be made without prior notice. SPP - distribúcia, a.s. shall then inform The Market Participant in writing as soon as possible after the change has been made.</w:t>
      </w:r>
    </w:p>
    <w:p w14:paraId="0ECA47AD" w14:textId="77777777" w:rsidR="00C1368D" w:rsidRPr="00177786" w:rsidRDefault="002B11AA" w:rsidP="00322897">
      <w:pPr>
        <w:pStyle w:val="CM10"/>
        <w:spacing w:after="120"/>
        <w:jc w:val="both"/>
        <w:rPr>
          <w:sz w:val="20"/>
        </w:rPr>
      </w:pPr>
      <w:r w:rsidRPr="00177786">
        <w:rPr>
          <w:sz w:val="20"/>
        </w:rPr>
        <w:t>Spoločnosť SPP – distribúcia, a.s. informuje účastníka trhu o plánovanej nedostupnosti registračnej databázy 3 dni vopred. Účastník trhu musí byť čo najskôr informovaný o inej nedostupnosti, ktorá bráni používaniu registračnej databázy.</w:t>
      </w:r>
    </w:p>
    <w:p w14:paraId="6D97AC62" w14:textId="580339B9" w:rsidR="002E6164" w:rsidRPr="008D506F" w:rsidRDefault="00C1368D" w:rsidP="00322897">
      <w:pPr>
        <w:pStyle w:val="CM10"/>
        <w:spacing w:after="120"/>
        <w:jc w:val="both"/>
        <w:rPr>
          <w:i/>
          <w:iCs/>
          <w:sz w:val="20"/>
          <w:szCs w:val="20"/>
        </w:rPr>
      </w:pPr>
      <w:r w:rsidRPr="008D506F">
        <w:rPr>
          <w:i/>
          <w:iCs/>
          <w:sz w:val="20"/>
          <w:szCs w:val="20"/>
        </w:rPr>
        <w:t>SPP - distribúcia, a.s. shall inform The Market Participant 3 days in advance of planned unavailability of the Registration Database. The Market Participant shall be informed of other unavailability preventing the use of the Registration Database as soon as possible.</w:t>
      </w:r>
    </w:p>
    <w:p w14:paraId="431F47AC" w14:textId="6B6BD0CC" w:rsidR="003F4146" w:rsidRPr="00177786" w:rsidRDefault="00A75F95" w:rsidP="00322897">
      <w:pPr>
        <w:pStyle w:val="Default"/>
        <w:spacing w:after="120"/>
        <w:jc w:val="both"/>
        <w:rPr>
          <w:color w:val="auto"/>
          <w:sz w:val="20"/>
        </w:rPr>
      </w:pPr>
      <w:r w:rsidRPr="00177786">
        <w:rPr>
          <w:color w:val="auto"/>
          <w:sz w:val="20"/>
        </w:rPr>
        <w:t>Účastník trhu musí dodržiavať technické požiadavky a pravidlá správania uvedené v</w:t>
      </w:r>
      <w:r w:rsidR="00A30FB4">
        <w:rPr>
          <w:color w:val="auto"/>
          <w:sz w:val="20"/>
        </w:rPr>
        <w:t xml:space="preserve"> doménovom </w:t>
      </w:r>
      <w:r w:rsidRPr="00177786">
        <w:rPr>
          <w:color w:val="auto"/>
          <w:sz w:val="20"/>
        </w:rPr>
        <w:t>protokole.</w:t>
      </w:r>
    </w:p>
    <w:p w14:paraId="6EBD2AE7" w14:textId="1A04BEFA" w:rsidR="00456F0B" w:rsidRPr="008D506F" w:rsidRDefault="003F4146" w:rsidP="00322897">
      <w:pPr>
        <w:pStyle w:val="Default"/>
        <w:spacing w:after="120"/>
        <w:jc w:val="both"/>
        <w:rPr>
          <w:i/>
          <w:iCs/>
          <w:color w:val="auto"/>
          <w:sz w:val="20"/>
          <w:szCs w:val="20"/>
        </w:rPr>
      </w:pPr>
      <w:r w:rsidRPr="008D506F">
        <w:rPr>
          <w:i/>
          <w:iCs/>
          <w:color w:val="auto"/>
          <w:sz w:val="20"/>
          <w:szCs w:val="20"/>
        </w:rPr>
        <w:t>The Market Participant shall respect the technical requirements and rules of conduct described in the Domain Protocol.</w:t>
      </w:r>
    </w:p>
    <w:p w14:paraId="39E3978D" w14:textId="77777777" w:rsidR="00B63ECB" w:rsidRPr="00177786" w:rsidRDefault="002B11AA" w:rsidP="00322897">
      <w:pPr>
        <w:pStyle w:val="CM6"/>
        <w:spacing w:after="120"/>
        <w:jc w:val="both"/>
        <w:rPr>
          <w:sz w:val="20"/>
        </w:rPr>
      </w:pPr>
      <w:r w:rsidRPr="00177786">
        <w:rPr>
          <w:sz w:val="20"/>
        </w:rPr>
        <w:t>Spoločnosť SPP – distribúcia, a.s. má právo zabrániť alebo obmedziť používanie služby registračnej databázy účastníkom trhu, ak dôjde k zneužitiu systému alebo ak si účastník trhu neplní svoje zmluvné povinnosti.</w:t>
      </w:r>
    </w:p>
    <w:p w14:paraId="6A23D122" w14:textId="4BD80924" w:rsidR="002E6164" w:rsidRPr="008D506F" w:rsidRDefault="00B63ECB" w:rsidP="00322897">
      <w:pPr>
        <w:pStyle w:val="CM6"/>
        <w:spacing w:after="120"/>
        <w:jc w:val="both"/>
        <w:rPr>
          <w:i/>
          <w:iCs/>
          <w:sz w:val="20"/>
          <w:szCs w:val="20"/>
        </w:rPr>
      </w:pPr>
      <w:r w:rsidRPr="008D506F">
        <w:rPr>
          <w:i/>
          <w:iCs/>
          <w:sz w:val="20"/>
          <w:szCs w:val="20"/>
        </w:rPr>
        <w:t>SPP - distribúcia, a.s. has the right to prevent or restrict the use of the Registration Database service by The Market Participant if there is misuse of the system or if The Market Participant has not fulfilled its contractual obligations.</w:t>
      </w:r>
    </w:p>
    <w:p w14:paraId="240F58EB" w14:textId="77777777" w:rsidR="00A54A53" w:rsidRDefault="00A54A53" w:rsidP="007A569A">
      <w:pPr>
        <w:pStyle w:val="CM8"/>
        <w:keepNext/>
        <w:widowControl/>
        <w:spacing w:before="360" w:after="120"/>
        <w:ind w:left="851" w:hanging="567"/>
        <w:jc w:val="both"/>
        <w:rPr>
          <w:b/>
          <w:sz w:val="32"/>
        </w:rPr>
      </w:pPr>
    </w:p>
    <w:p w14:paraId="7B1AF0DF" w14:textId="11812FB1" w:rsidR="002E6164" w:rsidRPr="008D506F" w:rsidRDefault="002E6164" w:rsidP="007A569A">
      <w:pPr>
        <w:pStyle w:val="CM8"/>
        <w:keepNext/>
        <w:widowControl/>
        <w:spacing w:before="360" w:after="120"/>
        <w:ind w:left="851" w:hanging="567"/>
        <w:jc w:val="both"/>
        <w:rPr>
          <w:b/>
          <w:bCs/>
          <w:sz w:val="32"/>
          <w:szCs w:val="32"/>
        </w:rPr>
      </w:pPr>
      <w:r w:rsidRPr="00177786">
        <w:rPr>
          <w:b/>
          <w:sz w:val="32"/>
        </w:rPr>
        <w:t>6.</w:t>
      </w:r>
      <w:r w:rsidR="007A569A" w:rsidRPr="00177786">
        <w:rPr>
          <w:b/>
          <w:sz w:val="32"/>
        </w:rPr>
        <w:tab/>
      </w:r>
      <w:r w:rsidRPr="00177786">
        <w:rPr>
          <w:b/>
          <w:sz w:val="32"/>
        </w:rPr>
        <w:t>Zodpovednosť</w:t>
      </w:r>
      <w:r w:rsidR="007A569A" w:rsidRPr="00177786">
        <w:rPr>
          <w:b/>
          <w:sz w:val="32"/>
        </w:rPr>
        <w:br/>
      </w:r>
      <w:r w:rsidR="007A569A" w:rsidRPr="008D506F">
        <w:rPr>
          <w:b/>
          <w:bCs/>
          <w:i/>
          <w:iCs/>
          <w:sz w:val="32"/>
          <w:szCs w:val="32"/>
        </w:rPr>
        <w:t>Liability</w:t>
      </w:r>
    </w:p>
    <w:p w14:paraId="2382697B" w14:textId="77777777" w:rsidR="00297896" w:rsidRPr="00177786" w:rsidRDefault="00A75F95" w:rsidP="00322897">
      <w:pPr>
        <w:pStyle w:val="CM4"/>
        <w:spacing w:after="120" w:line="240" w:lineRule="auto"/>
        <w:jc w:val="both"/>
        <w:rPr>
          <w:sz w:val="20"/>
        </w:rPr>
      </w:pPr>
      <w:r w:rsidRPr="00177786">
        <w:rPr>
          <w:sz w:val="20"/>
        </w:rPr>
        <w:t>Účastník trhu je povinný konať vždy v súlade s platnými právnymi predpismi a protokolom príslušnej domény.</w:t>
      </w:r>
    </w:p>
    <w:p w14:paraId="53978DF3" w14:textId="252BFC7F" w:rsidR="002E6164" w:rsidRPr="008D506F" w:rsidRDefault="00297896" w:rsidP="00322897">
      <w:pPr>
        <w:pStyle w:val="CM4"/>
        <w:spacing w:after="120" w:line="240" w:lineRule="auto"/>
        <w:jc w:val="both"/>
        <w:rPr>
          <w:i/>
          <w:iCs/>
          <w:sz w:val="20"/>
          <w:szCs w:val="20"/>
        </w:rPr>
      </w:pPr>
      <w:r w:rsidRPr="008D506F">
        <w:rPr>
          <w:i/>
          <w:iCs/>
          <w:sz w:val="20"/>
          <w:szCs w:val="20"/>
        </w:rPr>
        <w:t>The Market Participant shall at all times act in accordance with the applicable legal provisions and the Domain Protocol of the relevant Domain.</w:t>
      </w:r>
    </w:p>
    <w:p w14:paraId="770C92F4" w14:textId="0F6DC43B" w:rsidR="00EE4D72" w:rsidRPr="00177786" w:rsidRDefault="002E6164" w:rsidP="00322897">
      <w:pPr>
        <w:pStyle w:val="CM10"/>
        <w:spacing w:after="120"/>
        <w:jc w:val="both"/>
        <w:rPr>
          <w:sz w:val="20"/>
        </w:rPr>
      </w:pPr>
      <w:r w:rsidRPr="00177786">
        <w:rPr>
          <w:sz w:val="20"/>
        </w:rPr>
        <w:t xml:space="preserve">Používateľ komunikačného </w:t>
      </w:r>
      <w:r w:rsidR="00A30FB4">
        <w:rPr>
          <w:sz w:val="20"/>
        </w:rPr>
        <w:t>Hubu</w:t>
      </w:r>
      <w:r w:rsidR="00A30FB4" w:rsidRPr="00177786">
        <w:rPr>
          <w:sz w:val="20"/>
        </w:rPr>
        <w:t xml:space="preserve"> </w:t>
      </w:r>
      <w:r w:rsidRPr="00177786">
        <w:rPr>
          <w:sz w:val="20"/>
        </w:rPr>
        <w:t xml:space="preserve">ani zodpovedný orgán nezodpovedá za straty, ktoré vzniknú účastníkovi trhu, s výnimkou prípadov hrubej nedbanlivosti používateľa komunikačného </w:t>
      </w:r>
      <w:r w:rsidR="00A30FB4">
        <w:rPr>
          <w:sz w:val="20"/>
        </w:rPr>
        <w:t>Hubu</w:t>
      </w:r>
      <w:r w:rsidR="00A30FB4" w:rsidRPr="00177786">
        <w:rPr>
          <w:sz w:val="20"/>
        </w:rPr>
        <w:t xml:space="preserve"> </w:t>
      </w:r>
      <w:r w:rsidRPr="00177786">
        <w:rPr>
          <w:sz w:val="20"/>
        </w:rPr>
        <w:t>alebo zodpovedného orgánu.</w:t>
      </w:r>
    </w:p>
    <w:p w14:paraId="782D95B1" w14:textId="03C6A74B" w:rsidR="002E6164" w:rsidRPr="008D506F" w:rsidRDefault="00EE4D72" w:rsidP="00322897">
      <w:pPr>
        <w:pStyle w:val="CM10"/>
        <w:spacing w:after="120"/>
        <w:jc w:val="both"/>
        <w:rPr>
          <w:i/>
          <w:iCs/>
          <w:sz w:val="20"/>
          <w:szCs w:val="20"/>
        </w:rPr>
      </w:pPr>
      <w:r w:rsidRPr="008D506F">
        <w:rPr>
          <w:i/>
          <w:iCs/>
          <w:sz w:val="20"/>
          <w:szCs w:val="20"/>
        </w:rPr>
        <w:t>A Hub user or Competent Body is not liable for losses incurred by The Market Participant, except in case of the Hub user’s /Competent Body’s gross negligence.</w:t>
      </w:r>
    </w:p>
    <w:p w14:paraId="7988572D" w14:textId="77777777" w:rsidR="00B11E4F" w:rsidRPr="00177786" w:rsidRDefault="007770F0" w:rsidP="00322897">
      <w:pPr>
        <w:pStyle w:val="CM10"/>
        <w:spacing w:after="120"/>
        <w:jc w:val="both"/>
        <w:rPr>
          <w:sz w:val="20"/>
        </w:rPr>
      </w:pPr>
      <w:r w:rsidRPr="00177786">
        <w:rPr>
          <w:sz w:val="20"/>
        </w:rPr>
        <w:t>Ak účastník trhu utrpí škodu v dôsledku hrubej nedbanlivosti spoločnosti SPP – distribúcia, a.s., musí účastník trhu smerovať nárok na náhradu škody len voči spoločnosti SPP – distribúcia, a.s.</w:t>
      </w:r>
    </w:p>
    <w:p w14:paraId="07D48F28" w14:textId="4126689E" w:rsidR="007770F0" w:rsidRPr="008D506F" w:rsidRDefault="00B11E4F" w:rsidP="00322897">
      <w:pPr>
        <w:pStyle w:val="CM10"/>
        <w:spacing w:after="120"/>
        <w:jc w:val="both"/>
        <w:rPr>
          <w:i/>
          <w:iCs/>
          <w:sz w:val="20"/>
          <w:szCs w:val="20"/>
        </w:rPr>
      </w:pPr>
      <w:r w:rsidRPr="008D506F">
        <w:rPr>
          <w:i/>
          <w:iCs/>
          <w:sz w:val="20"/>
          <w:szCs w:val="20"/>
        </w:rPr>
        <w:t>If The Market Participant suffers a loss due to gross negligence by SPP - distribúcia, a.s., The Market Participant must direct the claim for compensation only against SPP - distribúcia, a.s.</w:t>
      </w:r>
    </w:p>
    <w:p w14:paraId="0FD4BE1B" w14:textId="070E6612" w:rsidR="00544704" w:rsidRPr="00177786" w:rsidRDefault="002E6164" w:rsidP="00322897">
      <w:pPr>
        <w:pStyle w:val="CM10"/>
        <w:spacing w:after="120"/>
        <w:jc w:val="both"/>
        <w:rPr>
          <w:sz w:val="20"/>
        </w:rPr>
      </w:pPr>
      <w:r w:rsidRPr="00177786">
        <w:rPr>
          <w:sz w:val="20"/>
        </w:rPr>
        <w:t xml:space="preserve">Ak účastník trhu utrpí škodu v dôsledku hrubej nedbanlivosti používateľa komunikačného </w:t>
      </w:r>
      <w:r w:rsidR="00A30FB4">
        <w:rPr>
          <w:sz w:val="20"/>
        </w:rPr>
        <w:t>Hubu</w:t>
      </w:r>
      <w:r w:rsidRPr="00177786">
        <w:rPr>
          <w:sz w:val="20"/>
        </w:rPr>
        <w:t xml:space="preserve">, zodpovedného orgánu, účastníka trhu alebo tretej strany, účastník trhu musí smerovať nárok na náhradu škody len voči príslušnému používateľovi komunikačného </w:t>
      </w:r>
      <w:r w:rsidR="00A30FB4">
        <w:rPr>
          <w:sz w:val="20"/>
        </w:rPr>
        <w:t>Hubu</w:t>
      </w:r>
      <w:r w:rsidRPr="00177786">
        <w:rPr>
          <w:sz w:val="20"/>
        </w:rPr>
        <w:t>, zodpovednému orgánu, účastníkovi trhu alebo tretej strane, ktorá škodu spôsobila.</w:t>
      </w:r>
    </w:p>
    <w:p w14:paraId="00849BB8" w14:textId="3EC467F3" w:rsidR="00202098" w:rsidRPr="008D506F" w:rsidRDefault="00544704" w:rsidP="00322897">
      <w:pPr>
        <w:pStyle w:val="CM10"/>
        <w:spacing w:after="120"/>
        <w:jc w:val="both"/>
        <w:rPr>
          <w:i/>
          <w:iCs/>
          <w:sz w:val="20"/>
          <w:szCs w:val="20"/>
        </w:rPr>
      </w:pPr>
      <w:r w:rsidRPr="008D506F">
        <w:rPr>
          <w:i/>
          <w:iCs/>
          <w:sz w:val="20"/>
          <w:szCs w:val="20"/>
        </w:rPr>
        <w:t>If The Market Participant suffers a loss due to gross negligence by a Hub user, Competent Body, Market Participant or third party, The Market Participant must direct the claim for compensation only against the relevant Hub user, Competent Body, Market Participant or third party that has caused the damage.</w:t>
      </w:r>
    </w:p>
    <w:p w14:paraId="735584C9" w14:textId="7EFDF3C5" w:rsidR="00F8504C" w:rsidRPr="00177786" w:rsidRDefault="002E6164" w:rsidP="00322897">
      <w:pPr>
        <w:pStyle w:val="CM10"/>
        <w:spacing w:after="120"/>
        <w:jc w:val="both"/>
        <w:rPr>
          <w:sz w:val="20"/>
        </w:rPr>
      </w:pPr>
      <w:r w:rsidRPr="00177786">
        <w:rPr>
          <w:sz w:val="20"/>
        </w:rPr>
        <w:t xml:space="preserve">AIB, iní používatelia komunikačného </w:t>
      </w:r>
      <w:r w:rsidR="00A30FB4">
        <w:rPr>
          <w:sz w:val="20"/>
        </w:rPr>
        <w:t>Hubu</w:t>
      </w:r>
      <w:r w:rsidR="00A30FB4" w:rsidRPr="00177786">
        <w:rPr>
          <w:sz w:val="20"/>
        </w:rPr>
        <w:t xml:space="preserve"> </w:t>
      </w:r>
      <w:r w:rsidRPr="00177786">
        <w:rPr>
          <w:sz w:val="20"/>
        </w:rPr>
        <w:t xml:space="preserve">ani ich zástupcovia nenesú zodpovednosť za konanie používateľa komunikačného </w:t>
      </w:r>
      <w:r w:rsidR="00A30FB4">
        <w:rPr>
          <w:sz w:val="20"/>
        </w:rPr>
        <w:t>Hubu</w:t>
      </w:r>
      <w:r w:rsidRPr="00177786">
        <w:rPr>
          <w:sz w:val="20"/>
        </w:rPr>
        <w:t>, zodpovedného orgánu, účastníka trhu alebo tretej strany, ktorá zanedbala svoju povinnosť.</w:t>
      </w:r>
    </w:p>
    <w:p w14:paraId="7A569F6E" w14:textId="098FF924" w:rsidR="002E6164" w:rsidRPr="008D506F" w:rsidRDefault="00F8504C" w:rsidP="00322897">
      <w:pPr>
        <w:pStyle w:val="CM10"/>
        <w:spacing w:after="120"/>
        <w:jc w:val="both"/>
        <w:rPr>
          <w:i/>
          <w:iCs/>
          <w:sz w:val="20"/>
          <w:szCs w:val="20"/>
        </w:rPr>
      </w:pPr>
      <w:r w:rsidRPr="008D506F">
        <w:rPr>
          <w:i/>
          <w:iCs/>
          <w:sz w:val="20"/>
          <w:szCs w:val="20"/>
        </w:rPr>
        <w:t>The AIB, other Hub users or their representatives are not liable for the actions of the negligent Hub user, Competent Body, Market Participant or third party.</w:t>
      </w:r>
    </w:p>
    <w:p w14:paraId="5D78CF9E" w14:textId="77777777" w:rsidR="00C77922" w:rsidRPr="00177786" w:rsidRDefault="00A75F95" w:rsidP="00322897">
      <w:pPr>
        <w:pStyle w:val="CM10"/>
        <w:spacing w:after="120"/>
        <w:jc w:val="both"/>
        <w:rPr>
          <w:sz w:val="20"/>
        </w:rPr>
      </w:pPr>
      <w:r w:rsidRPr="00177786">
        <w:rPr>
          <w:sz w:val="20"/>
        </w:rPr>
        <w:lastRenderedPageBreak/>
        <w:t>Účastník trhu je povinný urobiť všetko pre to, aby zabránil vzniku škody alebo obmedzil jej rozsah. Ak účastník trhu nevykoná primerané opatrenia na zabránenie alebo obmedzenie rozsahu škody, náhrada škody sa môže znížiť.</w:t>
      </w:r>
    </w:p>
    <w:p w14:paraId="682F4B00" w14:textId="3953C351" w:rsidR="002E6164" w:rsidRPr="008D506F" w:rsidRDefault="00C77922" w:rsidP="00322897">
      <w:pPr>
        <w:pStyle w:val="CM10"/>
        <w:spacing w:after="120"/>
        <w:jc w:val="both"/>
        <w:rPr>
          <w:i/>
          <w:iCs/>
          <w:sz w:val="20"/>
          <w:szCs w:val="20"/>
        </w:rPr>
      </w:pPr>
      <w:r w:rsidRPr="008D506F">
        <w:rPr>
          <w:i/>
          <w:iCs/>
          <w:sz w:val="20"/>
          <w:szCs w:val="20"/>
        </w:rPr>
        <w:t>The Market Participant has a duty to do everything possible to prevent or limit the extent of the damage. If The Market Participant does not implement adequate measures to prevent or limit the extent of the damage, compensation may be reduced.</w:t>
      </w:r>
    </w:p>
    <w:p w14:paraId="15D9F166" w14:textId="464B28BA" w:rsidR="00F73081" w:rsidRPr="00177786" w:rsidRDefault="001B460E" w:rsidP="00322897">
      <w:pPr>
        <w:pStyle w:val="CM6"/>
        <w:spacing w:after="120"/>
        <w:jc w:val="both"/>
        <w:rPr>
          <w:sz w:val="20"/>
        </w:rPr>
      </w:pPr>
      <w:r w:rsidRPr="00177786">
        <w:rPr>
          <w:sz w:val="20"/>
        </w:rPr>
        <w:t xml:space="preserve">Nároky voči ktorémukoľvek používateľovi komunikačného </w:t>
      </w:r>
      <w:r w:rsidR="00A30FB4">
        <w:rPr>
          <w:sz w:val="20"/>
        </w:rPr>
        <w:t>Hubu</w:t>
      </w:r>
      <w:r w:rsidR="00A30FB4" w:rsidRPr="00177786">
        <w:rPr>
          <w:sz w:val="20"/>
        </w:rPr>
        <w:t xml:space="preserve"> </w:t>
      </w:r>
      <w:r w:rsidRPr="00177786">
        <w:rPr>
          <w:sz w:val="20"/>
        </w:rPr>
        <w:t>za akúkoľvek škodu, stratu, náklady alebo výdavky, ktoré vznikli účastníkovi trhu v súvislosti s transakciami s GO vydanými v súlade s</w:t>
      </w:r>
      <w:r w:rsidR="00A30FB4">
        <w:rPr>
          <w:sz w:val="20"/>
        </w:rPr>
        <w:t xml:space="preserve">o štandardom </w:t>
      </w:r>
      <w:r w:rsidRPr="00177786">
        <w:rPr>
          <w:sz w:val="20"/>
        </w:rPr>
        <w:t>EECS, sú obmedzené na 5 000 (slovom: päťtisíc) eur ročne, s výnimkou nepriamych alebo následných škôd, napríklad obchodných škôd, straty zisku či nárokov tretích strán. Takéto obmedzenie sa však neuplatní v prípade úmyselného konania alebo úmyselnej škody.</w:t>
      </w:r>
    </w:p>
    <w:p w14:paraId="795D371B" w14:textId="66062C2F" w:rsidR="00386BF4" w:rsidRPr="008D506F" w:rsidRDefault="00F73081" w:rsidP="00322897">
      <w:pPr>
        <w:pStyle w:val="CM6"/>
        <w:spacing w:after="120"/>
        <w:jc w:val="both"/>
        <w:rPr>
          <w:i/>
          <w:iCs/>
          <w:sz w:val="20"/>
          <w:szCs w:val="20"/>
        </w:rPr>
      </w:pPr>
      <w:r w:rsidRPr="008D506F">
        <w:rPr>
          <w:i/>
          <w:iCs/>
          <w:sz w:val="20"/>
          <w:szCs w:val="20"/>
        </w:rPr>
        <w:t>Claims against any Hub user for any damage, loss, cost or expense incurred by The Market Participant in relation to Transactions with GOs issued in the EECS standard shall be limited to five thousand (5000) Euros per year excluding indirect or consequential damage, such as, but not limited to commercial damage, loss of profit, claims of other third parties. Such limitation will however not apply in case of wilful misconduct or intentional damage.</w:t>
      </w:r>
    </w:p>
    <w:p w14:paraId="7E336ACE" w14:textId="4C664468" w:rsidR="005574A5" w:rsidRPr="00177786" w:rsidRDefault="00C47B5E" w:rsidP="00322897">
      <w:pPr>
        <w:pStyle w:val="CM6"/>
        <w:spacing w:after="120"/>
        <w:jc w:val="both"/>
        <w:rPr>
          <w:sz w:val="20"/>
        </w:rPr>
      </w:pPr>
      <w:r w:rsidRPr="00177786">
        <w:rPr>
          <w:sz w:val="20"/>
        </w:rPr>
        <w:t xml:space="preserve">Nároky voči AIB za akúkoľvek škodu, stratu, náklady alebo výdavky, ktoré vznikli účastníkovi trhu a boli spôsobené hrubou nedbanlivosťou zo strany AIB v súvislosti s transakciami s GO vydanými v súlade </w:t>
      </w:r>
      <w:r w:rsidR="00C4283B" w:rsidRPr="00177786">
        <w:rPr>
          <w:sz w:val="20"/>
        </w:rPr>
        <w:t>s</w:t>
      </w:r>
      <w:r w:rsidR="00C4283B">
        <w:rPr>
          <w:sz w:val="20"/>
        </w:rPr>
        <w:t xml:space="preserve">o štandardom </w:t>
      </w:r>
      <w:r w:rsidRPr="00177786">
        <w:rPr>
          <w:sz w:val="20"/>
        </w:rPr>
        <w:t>EECS, sú obmedzené na 1 000 (slovom: tisíc) eur ročne na účastníka trhu, s výnimkou nepriamych alebo následných škôd, ako obchodných škôd, straty zisku či nárokov tretích strán. Takéto obmedzenie sa však neuplatní v prípade úmyselného konania alebo úmyselnej škody. Akékoľvek plnenie poskytnuté v súlade so zmluvou o úrovni služieb AIB, nemožno považovať za hrubú nedbanlivosť.</w:t>
      </w:r>
    </w:p>
    <w:p w14:paraId="08180D89" w14:textId="771510D3" w:rsidR="00C47B5E" w:rsidRPr="008D506F" w:rsidRDefault="005574A5" w:rsidP="00322897">
      <w:pPr>
        <w:pStyle w:val="CM6"/>
        <w:spacing w:after="120"/>
        <w:jc w:val="both"/>
        <w:rPr>
          <w:i/>
          <w:iCs/>
          <w:sz w:val="20"/>
          <w:szCs w:val="20"/>
        </w:rPr>
      </w:pPr>
      <w:r w:rsidRPr="008D506F">
        <w:rPr>
          <w:i/>
          <w:iCs/>
          <w:sz w:val="20"/>
          <w:szCs w:val="20"/>
        </w:rPr>
        <w:t>Claims against the AIB for any damage, loss, cost or expense incurred by The Market Participant and caused by gross negligence by the AIB in relation to Transactions with GOs issued in the EECS standard shall be limited to thousand (1000) Euros per year per Market Participant, excluding indirect or consequential damage, such as, but not limited to commercial damage, loss of profit, claims of other third parties. Such limitation will however not apply in case of wilful misconduct or intentional damage. Any performance that is provided in conformity with the AIB’s Service Level Agreement cannot be regarded as gross negligence.</w:t>
      </w:r>
    </w:p>
    <w:p w14:paraId="6F456DA7" w14:textId="77777777" w:rsidR="00397D83" w:rsidRPr="00177786" w:rsidRDefault="00386BF4" w:rsidP="00322897">
      <w:pPr>
        <w:pStyle w:val="CM6"/>
        <w:spacing w:after="120"/>
        <w:jc w:val="both"/>
        <w:rPr>
          <w:sz w:val="20"/>
        </w:rPr>
      </w:pPr>
      <w:r w:rsidRPr="00177786">
        <w:rPr>
          <w:sz w:val="20"/>
        </w:rPr>
        <w:t>Ak sa však tento odsek 6 neuplatňuje alebo je v rozpore s platnými právnymi predpismi, tieto ustanovenia sa uplatnia v rozsahu, v akom to umožňujú platné právne predpisy.</w:t>
      </w:r>
    </w:p>
    <w:p w14:paraId="1DCBE4AA" w14:textId="2EE70206" w:rsidR="002E6164" w:rsidRPr="008D506F" w:rsidRDefault="00397D83" w:rsidP="00322897">
      <w:pPr>
        <w:pStyle w:val="CM6"/>
        <w:spacing w:after="120"/>
        <w:jc w:val="both"/>
        <w:rPr>
          <w:i/>
          <w:iCs/>
          <w:sz w:val="20"/>
          <w:szCs w:val="20"/>
        </w:rPr>
      </w:pPr>
      <w:r w:rsidRPr="008D506F">
        <w:rPr>
          <w:i/>
          <w:iCs/>
          <w:sz w:val="20"/>
          <w:szCs w:val="20"/>
        </w:rPr>
        <w:t>However, if this paragraph 6 is not applicable or not valid due to applicable legislation, these provisions will be applied insofar allowed by applicable law.</w:t>
      </w:r>
    </w:p>
    <w:p w14:paraId="2257B834" w14:textId="77777777" w:rsidR="00A54A53" w:rsidRDefault="00A54A53" w:rsidP="009C105C">
      <w:pPr>
        <w:pStyle w:val="CM8"/>
        <w:keepNext/>
        <w:widowControl/>
        <w:spacing w:before="360" w:after="120"/>
        <w:ind w:left="851" w:hanging="567"/>
        <w:jc w:val="both"/>
        <w:rPr>
          <w:b/>
          <w:sz w:val="32"/>
        </w:rPr>
      </w:pPr>
    </w:p>
    <w:p w14:paraId="32100176" w14:textId="67B192C0" w:rsidR="002E6164" w:rsidRPr="008D506F" w:rsidRDefault="002E6164" w:rsidP="009C105C">
      <w:pPr>
        <w:pStyle w:val="CM8"/>
        <w:keepNext/>
        <w:widowControl/>
        <w:spacing w:before="360" w:after="120"/>
        <w:ind w:left="851" w:hanging="567"/>
        <w:jc w:val="both"/>
        <w:rPr>
          <w:b/>
          <w:bCs/>
          <w:i/>
          <w:iCs/>
          <w:sz w:val="32"/>
          <w:szCs w:val="32"/>
        </w:rPr>
      </w:pPr>
      <w:r w:rsidRPr="00177786">
        <w:rPr>
          <w:b/>
          <w:sz w:val="32"/>
        </w:rPr>
        <w:t>7.</w:t>
      </w:r>
      <w:r w:rsidR="009C105C" w:rsidRPr="00177786">
        <w:rPr>
          <w:b/>
          <w:sz w:val="32"/>
        </w:rPr>
        <w:tab/>
      </w:r>
      <w:r w:rsidRPr="00177786">
        <w:rPr>
          <w:b/>
          <w:sz w:val="32"/>
        </w:rPr>
        <w:t>Chyby pri vydávaní</w:t>
      </w:r>
      <w:r w:rsidR="009C105C" w:rsidRPr="00177786">
        <w:rPr>
          <w:b/>
          <w:sz w:val="32"/>
        </w:rPr>
        <w:br/>
      </w:r>
      <w:r w:rsidR="009C105C" w:rsidRPr="008D506F">
        <w:rPr>
          <w:b/>
          <w:bCs/>
          <w:i/>
          <w:iCs/>
          <w:sz w:val="32"/>
          <w:szCs w:val="32"/>
        </w:rPr>
        <w:t>Errors in Issuing</w:t>
      </w:r>
    </w:p>
    <w:p w14:paraId="61D3BCAF" w14:textId="0A5B25A6" w:rsidR="00F63C41" w:rsidRPr="00177786" w:rsidRDefault="002E6164" w:rsidP="00322897">
      <w:pPr>
        <w:pStyle w:val="CM10"/>
        <w:spacing w:after="120"/>
        <w:jc w:val="both"/>
        <w:rPr>
          <w:sz w:val="20"/>
        </w:rPr>
      </w:pPr>
      <w:r w:rsidRPr="00177786">
        <w:rPr>
          <w:sz w:val="20"/>
        </w:rPr>
        <w:t xml:space="preserve">Ak SPP – distribúcia, a.s. alebo účastník trhu zistí chybu pri vydaní, zrušení alebo spracovaní GO v súlade </w:t>
      </w:r>
      <w:r w:rsidR="00C4283B" w:rsidRPr="00177786">
        <w:rPr>
          <w:sz w:val="20"/>
        </w:rPr>
        <w:t>s</w:t>
      </w:r>
      <w:r w:rsidR="00C4283B">
        <w:rPr>
          <w:sz w:val="20"/>
        </w:rPr>
        <w:t xml:space="preserve">o štandardom </w:t>
      </w:r>
      <w:r w:rsidRPr="00177786">
        <w:rPr>
          <w:sz w:val="20"/>
        </w:rPr>
        <w:t>EECS alebo SK GAS, čo najskôr o tom informuje druhú stranu.</w:t>
      </w:r>
    </w:p>
    <w:p w14:paraId="2B14CC15" w14:textId="32938EA2" w:rsidR="002E6164" w:rsidRPr="008D506F" w:rsidRDefault="00F63C41" w:rsidP="00322897">
      <w:pPr>
        <w:pStyle w:val="CM10"/>
        <w:spacing w:after="120"/>
        <w:jc w:val="both"/>
        <w:rPr>
          <w:i/>
          <w:iCs/>
          <w:sz w:val="20"/>
          <w:szCs w:val="20"/>
        </w:rPr>
      </w:pPr>
      <w:r w:rsidRPr="008D506F">
        <w:rPr>
          <w:i/>
          <w:iCs/>
          <w:sz w:val="20"/>
          <w:szCs w:val="20"/>
        </w:rPr>
        <w:t>If SPP - distribúcia, a.s. or The Market Participant discovers an error in issuing, cancelling or processing of a GO in the EECS or SK GAS standard, the other party shall be informed as soon as possible.</w:t>
      </w:r>
    </w:p>
    <w:p w14:paraId="5C576854" w14:textId="1E681379" w:rsidR="00E44191" w:rsidRPr="00177786" w:rsidRDefault="002E6164" w:rsidP="00322897">
      <w:pPr>
        <w:pStyle w:val="CM4"/>
        <w:spacing w:after="120" w:line="240" w:lineRule="auto"/>
        <w:jc w:val="both"/>
        <w:rPr>
          <w:sz w:val="20"/>
        </w:rPr>
      </w:pPr>
      <w:r w:rsidRPr="00177786">
        <w:rPr>
          <w:sz w:val="20"/>
        </w:rPr>
        <w:t xml:space="preserve">Ak dôjde k chybe pri vydávaní, rušení alebo spracovaní GO v súlade </w:t>
      </w:r>
      <w:r w:rsidR="00C4283B" w:rsidRPr="00177786">
        <w:rPr>
          <w:sz w:val="20"/>
        </w:rPr>
        <w:t>s</w:t>
      </w:r>
      <w:r w:rsidR="00C4283B">
        <w:rPr>
          <w:sz w:val="20"/>
        </w:rPr>
        <w:t xml:space="preserve">o štandardom </w:t>
      </w:r>
      <w:r w:rsidRPr="00177786">
        <w:rPr>
          <w:sz w:val="20"/>
        </w:rPr>
        <w:t xml:space="preserve">EECS alebo SK GAS alebo k chybe v dôsledku neoprávneného prístupu do registračnej databázy alebo jej nefunkčnosti, spoločnosť SPP – distribúcia, a.s. a účastník trhu budú spolupracovať a vynaložia všetko primerané úsilie na to, aby v dôsledku chyby nedošlo k bezdôvodnému obohateniu. V prípade chyby môže spoločnosť SPP – distribúcia, a.s. stiahnuť alebo zmeniť GO v súlade </w:t>
      </w:r>
      <w:r w:rsidR="00C4283B" w:rsidRPr="00177786">
        <w:rPr>
          <w:sz w:val="20"/>
        </w:rPr>
        <w:t>s</w:t>
      </w:r>
      <w:r w:rsidR="00C4283B">
        <w:rPr>
          <w:sz w:val="20"/>
        </w:rPr>
        <w:t xml:space="preserve">o štandardom </w:t>
      </w:r>
      <w:r w:rsidRPr="00177786">
        <w:rPr>
          <w:sz w:val="20"/>
        </w:rPr>
        <w:t xml:space="preserve">EECS alebo SK GAS vedenú na účte účastníka trhu. Ak nebol vydaný dostatočný počet GO v súlade </w:t>
      </w:r>
      <w:r w:rsidR="00C4283B" w:rsidRPr="00177786">
        <w:rPr>
          <w:sz w:val="20"/>
        </w:rPr>
        <w:t>s</w:t>
      </w:r>
      <w:r w:rsidR="00C4283B">
        <w:rPr>
          <w:sz w:val="20"/>
        </w:rPr>
        <w:t xml:space="preserve">o štandardom </w:t>
      </w:r>
      <w:r w:rsidRPr="00177786">
        <w:rPr>
          <w:sz w:val="20"/>
        </w:rPr>
        <w:t xml:space="preserve">EECS alebo SK GAS, zodpovedný orgán vydá GO v súlade </w:t>
      </w:r>
      <w:r w:rsidR="00C4283B" w:rsidRPr="00177786">
        <w:rPr>
          <w:sz w:val="20"/>
        </w:rPr>
        <w:t>s</w:t>
      </w:r>
      <w:r w:rsidR="00C4283B">
        <w:rPr>
          <w:sz w:val="20"/>
        </w:rPr>
        <w:t>o štandardom</w:t>
      </w:r>
      <w:r w:rsidRPr="00177786">
        <w:rPr>
          <w:sz w:val="20"/>
        </w:rPr>
        <w:t xml:space="preserve"> EECS alebo SK GAS hneď, ako dostane správne informácie.</w:t>
      </w:r>
    </w:p>
    <w:p w14:paraId="57E60EA7" w14:textId="75CD342C" w:rsidR="002E6164" w:rsidRPr="008D506F" w:rsidRDefault="00E44191" w:rsidP="00322897">
      <w:pPr>
        <w:pStyle w:val="CM4"/>
        <w:spacing w:after="120" w:line="240" w:lineRule="auto"/>
        <w:jc w:val="both"/>
        <w:rPr>
          <w:i/>
          <w:iCs/>
          <w:sz w:val="20"/>
          <w:szCs w:val="20"/>
        </w:rPr>
      </w:pPr>
      <w:r w:rsidRPr="008D506F">
        <w:rPr>
          <w:i/>
          <w:iCs/>
          <w:sz w:val="20"/>
          <w:szCs w:val="20"/>
        </w:rPr>
        <w:lastRenderedPageBreak/>
        <w:t>If there is an error in the course of issuing, cancelling or processing of a GO in the EECS or SK GAS standard or an error due to any unauthorised access to or malfunction of a Registration Database, SPP - distribúcia, a.s. and The Market Participant shall co-operate and use all reasonable endeavours to ensure that no unjust enrichment occurs as a result of the error. If there is an error, the GOs in the EECS or SK GAS standard held in The Market Participant’s account may be withdrawn or amended by SPP - distribúcia, a.s. If not enough GOs in the EECS or SK GAS standard have been issued, the Competent Body will issue the GOs in the EECS or SK GAS standard as soon as it receives the correct information.</w:t>
      </w:r>
    </w:p>
    <w:p w14:paraId="117D8BC0" w14:textId="0C7D900A" w:rsidR="00185C15" w:rsidRPr="00177786" w:rsidRDefault="002E6164" w:rsidP="00322897">
      <w:pPr>
        <w:pStyle w:val="CM6"/>
        <w:spacing w:after="120"/>
        <w:jc w:val="both"/>
        <w:rPr>
          <w:sz w:val="20"/>
        </w:rPr>
      </w:pPr>
      <w:r w:rsidRPr="00177786">
        <w:rPr>
          <w:sz w:val="20"/>
        </w:rPr>
        <w:t xml:space="preserve">Ak sa ukáže, že údaje v ktorejkoľvek GO v súlade </w:t>
      </w:r>
      <w:r w:rsidR="00C4283B" w:rsidRPr="00177786">
        <w:rPr>
          <w:sz w:val="20"/>
        </w:rPr>
        <w:t>s</w:t>
      </w:r>
      <w:r w:rsidR="00C4283B">
        <w:rPr>
          <w:sz w:val="20"/>
        </w:rPr>
        <w:t xml:space="preserve">o štandardom </w:t>
      </w:r>
      <w:r w:rsidRPr="00177786">
        <w:rPr>
          <w:sz w:val="20"/>
        </w:rPr>
        <w:t xml:space="preserve">EECS alebo SK GAS sú nepresné (či už konaním alebo opomenutím registrovanej osoby pôvodného výrobného zariadenia), spoločnosť SPP – distribúcia, a.s. je oprávnená (za predpokladu, že takáto GO v súlade </w:t>
      </w:r>
      <w:r w:rsidR="00C4283B" w:rsidRPr="00177786">
        <w:rPr>
          <w:sz w:val="20"/>
        </w:rPr>
        <w:t>s</w:t>
      </w:r>
      <w:r w:rsidR="00C4283B">
        <w:rPr>
          <w:sz w:val="20"/>
        </w:rPr>
        <w:t xml:space="preserve">o štandardom </w:t>
      </w:r>
      <w:r w:rsidRPr="00177786">
        <w:rPr>
          <w:sz w:val="20"/>
        </w:rPr>
        <w:t xml:space="preserve">EECS alebo SK GAS je v čase takéhoto stiahnutia na prevoditeľnom účte príslušnej registrovanej osoby) stiahnuť tieto GO v súlade </w:t>
      </w:r>
      <w:r w:rsidR="00C4283B" w:rsidRPr="00177786">
        <w:rPr>
          <w:sz w:val="20"/>
        </w:rPr>
        <w:t>s</w:t>
      </w:r>
      <w:r w:rsidR="00C4283B">
        <w:rPr>
          <w:sz w:val="20"/>
        </w:rPr>
        <w:t xml:space="preserve">o štandardom </w:t>
      </w:r>
      <w:r w:rsidRPr="00177786">
        <w:rPr>
          <w:sz w:val="20"/>
        </w:rPr>
        <w:t xml:space="preserve">EECS a ďalšie GO v súlade </w:t>
      </w:r>
      <w:r w:rsidR="00C4283B" w:rsidRPr="00177786">
        <w:rPr>
          <w:sz w:val="20"/>
        </w:rPr>
        <w:t>s</w:t>
      </w:r>
      <w:r w:rsidR="00C4283B">
        <w:rPr>
          <w:sz w:val="20"/>
        </w:rPr>
        <w:t xml:space="preserve">o štandardom </w:t>
      </w:r>
      <w:r w:rsidRPr="00177786">
        <w:rPr>
          <w:sz w:val="20"/>
        </w:rPr>
        <w:t>SK GAS rovnakého typu.</w:t>
      </w:r>
    </w:p>
    <w:p w14:paraId="2FCD1262" w14:textId="5FC130E4" w:rsidR="002E6164" w:rsidRPr="008D506F" w:rsidRDefault="00185C15" w:rsidP="00322897">
      <w:pPr>
        <w:pStyle w:val="CM6"/>
        <w:spacing w:after="120"/>
        <w:jc w:val="both"/>
        <w:rPr>
          <w:i/>
          <w:iCs/>
          <w:sz w:val="20"/>
          <w:szCs w:val="20"/>
        </w:rPr>
      </w:pPr>
      <w:r w:rsidRPr="008D506F">
        <w:rPr>
          <w:i/>
          <w:iCs/>
          <w:sz w:val="20"/>
          <w:szCs w:val="20"/>
        </w:rPr>
        <w:t>If it transpires that the data in any GO in the EECS or SK GAS standard is inaccurate (whether or not through an act or omission of the Registrant of the originating Production Device), SPP - distribúcia, a.s. is entitled to – provided that such GOs in the EECS or SK GAS standard are, at the time of such withdrawal, in the “Transferable Account” of that Registrant – withdraw those GOs in the EECS standard, and other GOs in SK GAS standard of the same type.</w:t>
      </w:r>
    </w:p>
    <w:p w14:paraId="6946FAC9" w14:textId="65A77D68" w:rsidR="002E6164" w:rsidRPr="008D506F" w:rsidRDefault="002E6164" w:rsidP="00AC0797">
      <w:pPr>
        <w:pStyle w:val="CM8"/>
        <w:keepNext/>
        <w:widowControl/>
        <w:spacing w:before="360" w:after="120"/>
        <w:ind w:left="851" w:hanging="567"/>
        <w:jc w:val="both"/>
        <w:rPr>
          <w:b/>
          <w:bCs/>
          <w:i/>
          <w:iCs/>
          <w:sz w:val="32"/>
          <w:szCs w:val="32"/>
        </w:rPr>
      </w:pPr>
      <w:r w:rsidRPr="00177786">
        <w:rPr>
          <w:b/>
          <w:sz w:val="32"/>
        </w:rPr>
        <w:t>8.</w:t>
      </w:r>
      <w:r w:rsidR="00AC0797" w:rsidRPr="00177786">
        <w:rPr>
          <w:b/>
          <w:sz w:val="32"/>
        </w:rPr>
        <w:tab/>
      </w:r>
      <w:r w:rsidRPr="00177786">
        <w:rPr>
          <w:b/>
          <w:sz w:val="32"/>
        </w:rPr>
        <w:t>Ukončenie platnosti služieb SPP – distribúcia týkajúcich sa GO v súlade s normou EECS a SK GAS.</w:t>
      </w:r>
      <w:r w:rsidR="00AC0797" w:rsidRPr="00177786">
        <w:rPr>
          <w:b/>
          <w:sz w:val="32"/>
        </w:rPr>
        <w:br/>
      </w:r>
      <w:r w:rsidR="00AC0797" w:rsidRPr="008D506F">
        <w:rPr>
          <w:b/>
          <w:bCs/>
          <w:i/>
          <w:iCs/>
          <w:sz w:val="32"/>
          <w:szCs w:val="32"/>
        </w:rPr>
        <w:t>Expiry of SPP – distribucia’s services relating to GOs in EECS and SK GAS standard.</w:t>
      </w:r>
    </w:p>
    <w:p w14:paraId="4C1B90D8" w14:textId="7D4A7A19" w:rsidR="00A3182C" w:rsidRPr="00177786" w:rsidRDefault="002E6164" w:rsidP="00322897">
      <w:pPr>
        <w:pStyle w:val="CM10"/>
        <w:spacing w:after="120"/>
        <w:jc w:val="both"/>
        <w:rPr>
          <w:sz w:val="20"/>
        </w:rPr>
      </w:pPr>
      <w:r w:rsidRPr="00177786">
        <w:rPr>
          <w:sz w:val="20"/>
        </w:rPr>
        <w:t xml:space="preserve">Ak právo spoločnosti SPP – distribúcia, a.s. vykonávať funkciu zodpovedného orgánu pre GO v súlade s legislatívnym certifikačným systémom </w:t>
      </w:r>
      <w:r w:rsidR="00D4579C" w:rsidRPr="00177786">
        <w:rPr>
          <w:sz w:val="20"/>
        </w:rPr>
        <w:t>(</w:t>
      </w:r>
      <w:r w:rsidRPr="00177786">
        <w:rPr>
          <w:sz w:val="20"/>
        </w:rPr>
        <w:t>alebo pre iné certifikáty EECS</w:t>
      </w:r>
      <w:r w:rsidR="00D4579C" w:rsidRPr="00177786">
        <w:rPr>
          <w:sz w:val="20"/>
        </w:rPr>
        <w:t>)</w:t>
      </w:r>
      <w:r w:rsidRPr="00177786">
        <w:rPr>
          <w:sz w:val="20"/>
        </w:rPr>
        <w:t xml:space="preserve"> v príslušnej </w:t>
      </w:r>
      <w:r w:rsidR="00C4283B">
        <w:rPr>
          <w:sz w:val="20"/>
        </w:rPr>
        <w:t>doméne</w:t>
      </w:r>
      <w:r w:rsidR="00C4283B" w:rsidRPr="00177786">
        <w:rPr>
          <w:sz w:val="20"/>
        </w:rPr>
        <w:t xml:space="preserve"> </w:t>
      </w:r>
      <w:r w:rsidRPr="00177786">
        <w:rPr>
          <w:sz w:val="20"/>
        </w:rPr>
        <w:t xml:space="preserve">zanikne, spoločnosť SPP – distribúcia, a.s. má právo previesť </w:t>
      </w:r>
      <w:r w:rsidR="00C4283B">
        <w:rPr>
          <w:sz w:val="20"/>
        </w:rPr>
        <w:t>Z</w:t>
      </w:r>
      <w:r w:rsidRPr="00177786">
        <w:rPr>
          <w:sz w:val="20"/>
        </w:rPr>
        <w:t xml:space="preserve">mluvu na nový zodpovedný orgán. V prípade, že neexistuje nový zodpovedný orgán, spoločnosť SPP – distribúcia, a.s. má právo vypovedať </w:t>
      </w:r>
      <w:r w:rsidR="00C4283B">
        <w:rPr>
          <w:sz w:val="20"/>
        </w:rPr>
        <w:t>Z</w:t>
      </w:r>
      <w:r w:rsidRPr="00177786">
        <w:rPr>
          <w:sz w:val="20"/>
        </w:rPr>
        <w:t>mluvu. Účastník trhu nemá právo na vrátenie zaplatených zmluvných poplatkov.</w:t>
      </w:r>
    </w:p>
    <w:p w14:paraId="630FF245" w14:textId="1AFBE20B" w:rsidR="002E6164" w:rsidRPr="008D506F" w:rsidRDefault="00A3182C" w:rsidP="00322897">
      <w:pPr>
        <w:pStyle w:val="CM10"/>
        <w:spacing w:after="120"/>
        <w:jc w:val="both"/>
        <w:rPr>
          <w:i/>
          <w:iCs/>
          <w:sz w:val="20"/>
          <w:szCs w:val="20"/>
        </w:rPr>
      </w:pPr>
      <w:r w:rsidRPr="008D506F">
        <w:rPr>
          <w:i/>
          <w:iCs/>
          <w:sz w:val="20"/>
          <w:szCs w:val="20"/>
        </w:rPr>
        <w:t>If SPP - distribúcia, a.s.’s right to serve as the Competent Body for GOs in accordance with a Legislative Certification Scheme [or for other EECS Certificates] in the related Domain expires SPP - distribúcia, a.s. has the right to transfer the Contract to a new Competent Body. If there is no new Competent Body, SPP - distribúcia, a.s. has the right to terminate the Contract. The Market Participant has no right to receive any refund of the paid contractual fees.</w:t>
      </w:r>
    </w:p>
    <w:p w14:paraId="0F59442A" w14:textId="25D4327B" w:rsidR="00F82EFB" w:rsidRPr="00177786" w:rsidRDefault="002E6164" w:rsidP="00F82EFB">
      <w:pPr>
        <w:pStyle w:val="CM6"/>
        <w:keepNext/>
        <w:keepLines/>
        <w:spacing w:after="120"/>
        <w:jc w:val="both"/>
        <w:rPr>
          <w:sz w:val="20"/>
        </w:rPr>
      </w:pPr>
      <w:r w:rsidRPr="00177786">
        <w:rPr>
          <w:sz w:val="20"/>
        </w:rPr>
        <w:t xml:space="preserve">Ak spoločnosť SPP – distribúcia, a.s. prestane pôsobiť ako zodpovedný orgán pre legislatívny certifikačný systém, účastník trhu má právo získať svoje údaje späť. </w:t>
      </w:r>
      <w:r w:rsidR="00D4579C" w:rsidRPr="00177786">
        <w:rPr>
          <w:sz w:val="20"/>
        </w:rPr>
        <w:t>(</w:t>
      </w:r>
      <w:r w:rsidRPr="00177786">
        <w:rPr>
          <w:sz w:val="20"/>
        </w:rPr>
        <w:t>Pozn.: spoločnosť SPP – distribúcia, a.s. môže stanoviť podmienky tohto práva, ako napríklad určitý časový rámec po oznámení, migračné služby s úhradou nákladov na migráciu...</w:t>
      </w:r>
      <w:r w:rsidR="00D4579C" w:rsidRPr="00177786">
        <w:rPr>
          <w:sz w:val="20"/>
        </w:rPr>
        <w:t>)</w:t>
      </w:r>
      <w:r w:rsidRPr="00177786">
        <w:rPr>
          <w:sz w:val="20"/>
        </w:rPr>
        <w:t>.</w:t>
      </w:r>
    </w:p>
    <w:p w14:paraId="75CE2791" w14:textId="6E98BA60" w:rsidR="002E6164" w:rsidRPr="008D506F" w:rsidRDefault="00F82EFB" w:rsidP="00322897">
      <w:pPr>
        <w:pStyle w:val="CM6"/>
        <w:spacing w:after="120"/>
        <w:jc w:val="both"/>
        <w:rPr>
          <w:i/>
          <w:iCs/>
          <w:sz w:val="20"/>
          <w:szCs w:val="20"/>
        </w:rPr>
      </w:pPr>
      <w:r w:rsidRPr="008D506F">
        <w:rPr>
          <w:i/>
          <w:iCs/>
          <w:sz w:val="20"/>
          <w:szCs w:val="20"/>
        </w:rPr>
        <w:t>If SPP - distribúcia, a.s. no longer acts as Competent Body for a Legislative Certification Scheme The Market Participant has the right to retrieve its data. [Note: SPP - distribúcia, a.s. may set forth the modalities of this right, such as a certain timeframe after notification, migration services with payment of migration costs ...].</w:t>
      </w:r>
    </w:p>
    <w:p w14:paraId="00D0D21A" w14:textId="2F388176" w:rsidR="002E6164" w:rsidRPr="008D506F" w:rsidRDefault="002E6164" w:rsidP="00E960F2">
      <w:pPr>
        <w:pStyle w:val="CM8"/>
        <w:keepNext/>
        <w:widowControl/>
        <w:spacing w:before="360" w:after="120"/>
        <w:ind w:left="851" w:hanging="567"/>
        <w:jc w:val="both"/>
        <w:rPr>
          <w:b/>
          <w:bCs/>
          <w:i/>
          <w:iCs/>
          <w:sz w:val="32"/>
          <w:szCs w:val="32"/>
        </w:rPr>
      </w:pPr>
      <w:r w:rsidRPr="00177786">
        <w:rPr>
          <w:b/>
          <w:sz w:val="32"/>
        </w:rPr>
        <w:t>9.</w:t>
      </w:r>
      <w:r w:rsidR="00E960F2" w:rsidRPr="00177786">
        <w:rPr>
          <w:b/>
          <w:sz w:val="32"/>
        </w:rPr>
        <w:tab/>
      </w:r>
      <w:r w:rsidRPr="00177786">
        <w:rPr>
          <w:b/>
          <w:sz w:val="32"/>
        </w:rPr>
        <w:t>Poplatky</w:t>
      </w:r>
      <w:r w:rsidR="00E960F2" w:rsidRPr="00177786">
        <w:rPr>
          <w:b/>
          <w:sz w:val="32"/>
        </w:rPr>
        <w:br/>
      </w:r>
      <w:r w:rsidR="00E960F2" w:rsidRPr="008D506F">
        <w:rPr>
          <w:b/>
          <w:bCs/>
          <w:i/>
          <w:iCs/>
          <w:sz w:val="32"/>
          <w:szCs w:val="32"/>
        </w:rPr>
        <w:t>Fees</w:t>
      </w:r>
    </w:p>
    <w:p w14:paraId="6F4F8740" w14:textId="0470EDD1" w:rsidR="00043332" w:rsidRPr="00177786" w:rsidRDefault="00E54E75" w:rsidP="00322897">
      <w:pPr>
        <w:pStyle w:val="CM6"/>
        <w:spacing w:after="120"/>
        <w:jc w:val="both"/>
        <w:rPr>
          <w:sz w:val="20"/>
        </w:rPr>
      </w:pPr>
      <w:r w:rsidRPr="00177786">
        <w:rPr>
          <w:sz w:val="20"/>
        </w:rPr>
        <w:t>Platné ceny Registra obnoviteľných zdrojov plynu sú stanovené v súlade s rozhodnutím Úradu pre reguláciu sieťových odvetví a sú zverejnené na internetovej stránke spoločnosti SPP – distribúcia, a.s. (</w:t>
      </w:r>
      <w:hyperlink r:id="rId8" w:history="1">
        <w:r w:rsidRPr="00177786">
          <w:rPr>
            <w:rStyle w:val="Hypertextovprepojenie"/>
            <w:color w:val="0000FF"/>
            <w:sz w:val="20"/>
          </w:rPr>
          <w:t>https://www.spp-distribucia.sk/dodavatelia/register-obnovitelnych-plynov/cennik-a-fakturacia/</w:t>
        </w:r>
      </w:hyperlink>
      <w:r w:rsidRPr="00177786">
        <w:rPr>
          <w:sz w:val="20"/>
        </w:rPr>
        <w:t>).</w:t>
      </w:r>
    </w:p>
    <w:p w14:paraId="6618DCA0" w14:textId="6B3477B9" w:rsidR="002E6164" w:rsidRPr="008D506F" w:rsidRDefault="00043332" w:rsidP="00322897">
      <w:pPr>
        <w:pStyle w:val="CM6"/>
        <w:spacing w:after="120"/>
        <w:jc w:val="both"/>
        <w:rPr>
          <w:i/>
          <w:iCs/>
          <w:sz w:val="20"/>
          <w:szCs w:val="20"/>
        </w:rPr>
      </w:pPr>
      <w:r w:rsidRPr="008D506F">
        <w:rPr>
          <w:i/>
          <w:iCs/>
          <w:sz w:val="20"/>
          <w:szCs w:val="20"/>
        </w:rPr>
        <w:t>The applicable prices of the Renewable Gas Registry are determined in accordance with the decision of the Regulatory Office for Network Industries and are published on the website of SPP – distribúcia, a.s. (</w:t>
      </w:r>
      <w:hyperlink r:id="rId9" w:history="1">
        <w:r w:rsidRPr="008D506F">
          <w:rPr>
            <w:rStyle w:val="Hypertextovprepojenie"/>
            <w:rFonts w:cs="Arial"/>
            <w:i/>
            <w:iCs/>
            <w:sz w:val="20"/>
            <w:szCs w:val="20"/>
          </w:rPr>
          <w:t>https://www.spp-distribucia.sk/dodavatelia/register-obnovitelnych-plynov/cennik-a-fakturacia/</w:t>
        </w:r>
      </w:hyperlink>
      <w:r w:rsidRPr="008D506F">
        <w:rPr>
          <w:i/>
          <w:iCs/>
          <w:sz w:val="20"/>
          <w:szCs w:val="20"/>
        </w:rPr>
        <w:t>).</w:t>
      </w:r>
    </w:p>
    <w:p w14:paraId="62D4D445" w14:textId="687CF2B6" w:rsidR="002E6164" w:rsidRPr="008D506F" w:rsidRDefault="002E6164" w:rsidP="00E7358E">
      <w:pPr>
        <w:pStyle w:val="CM8"/>
        <w:keepNext/>
        <w:widowControl/>
        <w:spacing w:before="360" w:after="120"/>
        <w:ind w:left="851" w:hanging="567"/>
        <w:jc w:val="both"/>
        <w:rPr>
          <w:b/>
          <w:bCs/>
          <w:i/>
          <w:iCs/>
          <w:sz w:val="32"/>
          <w:szCs w:val="32"/>
        </w:rPr>
      </w:pPr>
      <w:r w:rsidRPr="00177786">
        <w:rPr>
          <w:b/>
          <w:sz w:val="32"/>
        </w:rPr>
        <w:lastRenderedPageBreak/>
        <w:t>10.</w:t>
      </w:r>
      <w:r w:rsidR="00E7358E" w:rsidRPr="00177786">
        <w:rPr>
          <w:b/>
          <w:sz w:val="32"/>
        </w:rPr>
        <w:tab/>
      </w:r>
      <w:r w:rsidRPr="00177786">
        <w:rPr>
          <w:b/>
          <w:sz w:val="32"/>
        </w:rPr>
        <w:t>Porušenie zmluvy</w:t>
      </w:r>
      <w:r w:rsidR="00E7358E" w:rsidRPr="00177786">
        <w:rPr>
          <w:b/>
          <w:sz w:val="32"/>
        </w:rPr>
        <w:br/>
      </w:r>
      <w:r w:rsidR="00E7358E" w:rsidRPr="008D506F">
        <w:rPr>
          <w:b/>
          <w:bCs/>
          <w:i/>
          <w:iCs/>
          <w:sz w:val="32"/>
          <w:szCs w:val="32"/>
        </w:rPr>
        <w:t>Breach of the Contract</w:t>
      </w:r>
    </w:p>
    <w:p w14:paraId="5C1392D5" w14:textId="04D5C82F" w:rsidR="003B2F11" w:rsidRPr="00177786" w:rsidRDefault="002E6164" w:rsidP="00322897">
      <w:pPr>
        <w:pStyle w:val="CM6"/>
        <w:spacing w:after="120"/>
        <w:jc w:val="both"/>
        <w:rPr>
          <w:sz w:val="20"/>
        </w:rPr>
      </w:pPr>
      <w:r w:rsidRPr="00177786">
        <w:rPr>
          <w:sz w:val="20"/>
        </w:rPr>
        <w:t xml:space="preserve">Ak účastník trhu podstatným spôsobom poruší </w:t>
      </w:r>
      <w:r w:rsidR="0076562C">
        <w:rPr>
          <w:sz w:val="20"/>
        </w:rPr>
        <w:t>Z</w:t>
      </w:r>
      <w:r w:rsidRPr="00177786">
        <w:rPr>
          <w:sz w:val="20"/>
        </w:rPr>
        <w:t xml:space="preserve">mluvu, vrátane jeho povinnosti platiť poplatky spoločnosti SPP – distribúcia, a.s., spoločnosť SPP – distribúcia, a.s. je oprávnená ukončiť alebo pozastaviť plnenie tejto </w:t>
      </w:r>
      <w:r w:rsidR="0076562C">
        <w:rPr>
          <w:sz w:val="20"/>
        </w:rPr>
        <w:t>Z</w:t>
      </w:r>
      <w:r w:rsidRPr="00177786">
        <w:rPr>
          <w:sz w:val="20"/>
        </w:rPr>
        <w:t xml:space="preserve">mluvy a tým zastaviť vydávanie, </w:t>
      </w:r>
      <w:r w:rsidR="0076562C">
        <w:rPr>
          <w:sz w:val="20"/>
        </w:rPr>
        <w:t>uplatňovanie</w:t>
      </w:r>
      <w:r w:rsidR="0076562C" w:rsidRPr="00177786">
        <w:rPr>
          <w:sz w:val="20"/>
        </w:rPr>
        <w:t xml:space="preserve"> </w:t>
      </w:r>
      <w:r w:rsidRPr="00177786">
        <w:rPr>
          <w:sz w:val="20"/>
        </w:rPr>
        <w:t>alebo iné spracovanie certifikátov.</w:t>
      </w:r>
    </w:p>
    <w:p w14:paraId="19E040D2" w14:textId="1C008C50" w:rsidR="002E6164" w:rsidRPr="008D506F" w:rsidRDefault="003B2F11" w:rsidP="00322897">
      <w:pPr>
        <w:pStyle w:val="CM6"/>
        <w:spacing w:after="120"/>
        <w:jc w:val="both"/>
        <w:rPr>
          <w:i/>
          <w:iCs/>
          <w:sz w:val="20"/>
          <w:szCs w:val="20"/>
        </w:rPr>
      </w:pPr>
      <w:r w:rsidRPr="008D506F">
        <w:rPr>
          <w:i/>
          <w:iCs/>
          <w:sz w:val="20"/>
          <w:szCs w:val="20"/>
        </w:rPr>
        <w:t>If The Market Participant is in material breach of the Contract, including his obligation to pay the fees to SPP - distribúcia, a.s., SPP - distribúcia, a.s. is entitled to terminate or suspend the execution of this Contract and thus to stop issuing, cancelling or otherwise processing certificates.</w:t>
      </w:r>
    </w:p>
    <w:p w14:paraId="3096C94D" w14:textId="77777777" w:rsidR="00A54A53" w:rsidRDefault="00A54A53" w:rsidP="00AD2DC5">
      <w:pPr>
        <w:pStyle w:val="CM8"/>
        <w:keepNext/>
        <w:widowControl/>
        <w:spacing w:before="360" w:after="120"/>
        <w:ind w:left="851" w:hanging="567"/>
        <w:jc w:val="both"/>
        <w:rPr>
          <w:b/>
          <w:sz w:val="32"/>
        </w:rPr>
      </w:pPr>
    </w:p>
    <w:p w14:paraId="4B238564" w14:textId="041B9103" w:rsidR="002E6164" w:rsidRPr="008D506F" w:rsidRDefault="002E6164" w:rsidP="00AD2DC5">
      <w:pPr>
        <w:pStyle w:val="CM8"/>
        <w:keepNext/>
        <w:widowControl/>
        <w:spacing w:before="360" w:after="120"/>
        <w:ind w:left="851" w:hanging="567"/>
        <w:jc w:val="both"/>
        <w:rPr>
          <w:b/>
          <w:bCs/>
          <w:i/>
          <w:iCs/>
          <w:sz w:val="32"/>
          <w:szCs w:val="32"/>
        </w:rPr>
      </w:pPr>
      <w:r w:rsidRPr="00177786">
        <w:rPr>
          <w:b/>
          <w:sz w:val="32"/>
        </w:rPr>
        <w:t>11.</w:t>
      </w:r>
      <w:r w:rsidR="00AD2DC5" w:rsidRPr="00177786">
        <w:rPr>
          <w:b/>
          <w:sz w:val="32"/>
        </w:rPr>
        <w:tab/>
      </w:r>
      <w:r w:rsidRPr="00177786">
        <w:rPr>
          <w:b/>
          <w:sz w:val="32"/>
        </w:rPr>
        <w:t>Vyššia moc</w:t>
      </w:r>
      <w:r w:rsidR="00AD2DC5" w:rsidRPr="00177786">
        <w:rPr>
          <w:b/>
          <w:sz w:val="32"/>
        </w:rPr>
        <w:br/>
      </w:r>
      <w:r w:rsidR="00AD2DC5" w:rsidRPr="008D506F">
        <w:rPr>
          <w:b/>
          <w:bCs/>
          <w:i/>
          <w:iCs/>
          <w:sz w:val="32"/>
          <w:szCs w:val="32"/>
        </w:rPr>
        <w:t>Force majeure</w:t>
      </w:r>
    </w:p>
    <w:p w14:paraId="422569AC" w14:textId="186D5E9C" w:rsidR="0086497D" w:rsidRPr="00177786" w:rsidRDefault="00D65CA4" w:rsidP="00322897">
      <w:pPr>
        <w:pStyle w:val="CM6"/>
        <w:spacing w:after="120"/>
        <w:jc w:val="both"/>
        <w:rPr>
          <w:sz w:val="20"/>
        </w:rPr>
      </w:pPr>
      <w:r w:rsidRPr="00177786">
        <w:rPr>
          <w:sz w:val="20"/>
        </w:rPr>
        <w:t xml:space="preserve">Žiadna zo zmluvných strán nenesie zodpovednosť v prípade akéhokoľvek omeškania alebo nesplnenia ktorejkoľvek z ich príslušných povinností, ak je takéto omeškanie alebo nesplnenie dôsledkom príčin, ktoré táto zmluvná strana nemôže ovplyvniť, a to ani z nedbanlivosti. Takéto nesplnenie si povinností sa nepovažuje za porušenie </w:t>
      </w:r>
      <w:r w:rsidR="0076562C">
        <w:rPr>
          <w:sz w:val="20"/>
        </w:rPr>
        <w:t>Z</w:t>
      </w:r>
      <w:r w:rsidRPr="00177786">
        <w:rPr>
          <w:sz w:val="20"/>
        </w:rPr>
        <w:t>mluvy. Medzi takéto príčiny patria, okrem iného, vojnové udalosti, občianska vojna, nepokoje, teroristické útoky, generálne štrajky alebo výluky, povstania, sabotáže, embargá, blokády, konanie alebo nekonanie akéhokoľvek vládneho alebo regulačného orgánu (civilného alebo vojenského, domáceho alebo zahraničného, národné alebo nadnárodné), poruchy komunikačných liniek, výpadky elektrického prúdu, požiare, výbuchy, záplavy, nehody, epidémie, zemetrasenia alebo iné prírodné alebo človekom spôsobené katastrofy a všetky udalosti podobné vyššie uvedeným (spoločne označované ako „zásah vyššej moci“).</w:t>
      </w:r>
    </w:p>
    <w:p w14:paraId="2CC123A6" w14:textId="6C4F881B" w:rsidR="00D65CA4" w:rsidRPr="008D506F" w:rsidRDefault="0086497D" w:rsidP="00322897">
      <w:pPr>
        <w:pStyle w:val="CM6"/>
        <w:spacing w:after="120"/>
        <w:jc w:val="both"/>
        <w:rPr>
          <w:i/>
          <w:iCs/>
          <w:sz w:val="20"/>
          <w:szCs w:val="20"/>
        </w:rPr>
      </w:pPr>
      <w:r w:rsidRPr="008D506F">
        <w:rPr>
          <w:i/>
          <w:iCs/>
          <w:sz w:val="20"/>
          <w:szCs w:val="20"/>
        </w:rPr>
        <w:t>Neither Party shall be held liable nor be deemed in default under this Contract for any delay or failure in performance of any of their respective obligations if such delay or failure is the result of causes beyond the control and without negligence of such Party. Such causes shall include, without limitation, acts of war, civil war, riots, acts of terrorism, general strikes or lockouts, insurrections, sabotage, embargoes, blockades, acts or failures to act of any governmental or regulatory body (whether civil or military, domestic or foreign, national or supranational), communication line failures, power failures, fires, explosions, floods, accidents, epidemics, earthquakes or other natural or man-made disasters, and all occurrences similar to the foregoing (collectively referred to as “Force Majeure”).</w:t>
      </w:r>
    </w:p>
    <w:p w14:paraId="6AB8A9C2" w14:textId="637B522B" w:rsidR="00567B7E" w:rsidRPr="00177786" w:rsidRDefault="00D65CA4" w:rsidP="00567B7E">
      <w:pPr>
        <w:pStyle w:val="CM6"/>
        <w:keepNext/>
        <w:keepLines/>
        <w:spacing w:after="120"/>
        <w:jc w:val="both"/>
        <w:rPr>
          <w:sz w:val="20"/>
        </w:rPr>
      </w:pPr>
      <w:r w:rsidRPr="00177786">
        <w:rPr>
          <w:sz w:val="20"/>
        </w:rPr>
        <w:t xml:space="preserve">Zmluvná strana poškodená zásahom vyššej moci je po bezodkladnom oznámení druhej zmluvnej strane oslobodená od každodenného plnenia tejto </w:t>
      </w:r>
      <w:r w:rsidR="0076562C">
        <w:rPr>
          <w:sz w:val="20"/>
        </w:rPr>
        <w:t>Z</w:t>
      </w:r>
      <w:r w:rsidRPr="00177786">
        <w:rPr>
          <w:sz w:val="20"/>
        </w:rPr>
        <w:t xml:space="preserve">mluvy v rozsahu, v akom jej v tom zabránil zásah vyššej moci a jeho priame dôsledky (a druhá zmluvná strana je rovnako oslobodená od každodenného plnenia svojich záväzkov v rozsahu, v akom tieto záväzky súvisia s takto znemožneným plnením), za predpokladu, že takto poškodená zmluvná strana vynaloží maximálne úsilie na to, aby sa vyhla takýmto príčinám neplnenia alebo ich odstránila a minimalizovala ich následky a zmluvné strany budú pokračovať v plnení podľa tejto </w:t>
      </w:r>
      <w:r w:rsidR="0076562C">
        <w:rPr>
          <w:sz w:val="20"/>
        </w:rPr>
        <w:t>Z</w:t>
      </w:r>
      <w:r w:rsidRPr="00177786">
        <w:rPr>
          <w:sz w:val="20"/>
        </w:rPr>
        <w:t>mluvy s maximálnym úsilím vždy, keď sa takéto príčiny odstránia.</w:t>
      </w:r>
    </w:p>
    <w:p w14:paraId="08815460" w14:textId="793B159A" w:rsidR="00D65CA4" w:rsidRPr="008D506F" w:rsidRDefault="00567B7E" w:rsidP="00322897">
      <w:pPr>
        <w:pStyle w:val="CM6"/>
        <w:spacing w:after="120"/>
        <w:jc w:val="both"/>
        <w:rPr>
          <w:i/>
          <w:iCs/>
          <w:sz w:val="20"/>
          <w:szCs w:val="20"/>
        </w:rPr>
      </w:pPr>
      <w:r w:rsidRPr="008D506F">
        <w:rPr>
          <w:i/>
          <w:iCs/>
          <w:sz w:val="20"/>
          <w:szCs w:val="20"/>
        </w:rPr>
        <w:t>The Party affected by an event of Force Majeure, upon giving prompt notice to the other Party, shall be excused from performance hereunder on a day-to-day basis to the extent prevented by Force Majeure and the direct consequences thereof (and the other Party shall likewise be excused from performance of its obligations on a day-to-day basis to the extent that such obligations relate to the performance so prevented), provided that the Party so affected shall use its best efforts to avoid or remove such causes of non-performance and to minimize the consequences thereof and the Parties shall continue performance hereunder with the utmost dispatch whenever such causes are removed.</w:t>
      </w:r>
    </w:p>
    <w:p w14:paraId="14385CAA" w14:textId="0D0C2EDD" w:rsidR="00837AFB" w:rsidRPr="00177786" w:rsidRDefault="00D65CA4" w:rsidP="00322897">
      <w:pPr>
        <w:pStyle w:val="CM6"/>
        <w:spacing w:after="120"/>
        <w:jc w:val="both"/>
        <w:rPr>
          <w:sz w:val="20"/>
        </w:rPr>
      </w:pPr>
      <w:r w:rsidRPr="00177786">
        <w:rPr>
          <w:sz w:val="20"/>
        </w:rPr>
        <w:t xml:space="preserve">Ak zásah vyššej moci pretrváva dlhšie ako jeden (1) mesiac, má ktorákoľvek zmluvná strana právo vypovedať </w:t>
      </w:r>
      <w:r w:rsidR="0076562C">
        <w:rPr>
          <w:sz w:val="20"/>
        </w:rPr>
        <w:t>Z</w:t>
      </w:r>
      <w:r w:rsidRPr="00177786">
        <w:rPr>
          <w:sz w:val="20"/>
        </w:rPr>
        <w:t>mluvu písomným oznámením druhej zmluvnej strane s výpovednou lehotou dvadsať (20) pracovných dní.</w:t>
      </w:r>
    </w:p>
    <w:p w14:paraId="648E9BC6" w14:textId="480C201A" w:rsidR="00D65CA4" w:rsidRPr="008D506F" w:rsidRDefault="00837AFB" w:rsidP="00322897">
      <w:pPr>
        <w:pStyle w:val="CM6"/>
        <w:spacing w:after="120"/>
        <w:jc w:val="both"/>
        <w:rPr>
          <w:i/>
          <w:iCs/>
          <w:sz w:val="20"/>
          <w:szCs w:val="20"/>
        </w:rPr>
      </w:pPr>
      <w:r w:rsidRPr="008D506F">
        <w:rPr>
          <w:i/>
          <w:iCs/>
          <w:sz w:val="20"/>
          <w:szCs w:val="20"/>
        </w:rPr>
        <w:t xml:space="preserve">In the event that the Force Majeure continues to persist for a period exceeding one (1) month, then either Party </w:t>
      </w:r>
      <w:r w:rsidRPr="008D506F">
        <w:rPr>
          <w:i/>
          <w:iCs/>
          <w:sz w:val="20"/>
          <w:szCs w:val="20"/>
        </w:rPr>
        <w:lastRenderedPageBreak/>
        <w:t>shall have the right to terminate the Contract by giving twenty (20) business days written notice of termination to the other Party.</w:t>
      </w:r>
    </w:p>
    <w:p w14:paraId="4DFADDE9" w14:textId="36437161" w:rsidR="002E6164" w:rsidRPr="008D506F" w:rsidRDefault="002E6164" w:rsidP="00515891">
      <w:pPr>
        <w:pStyle w:val="CM8"/>
        <w:keepNext/>
        <w:widowControl/>
        <w:spacing w:before="360" w:after="120"/>
        <w:ind w:left="851" w:hanging="567"/>
        <w:jc w:val="both"/>
        <w:rPr>
          <w:b/>
          <w:bCs/>
          <w:i/>
          <w:iCs/>
          <w:sz w:val="32"/>
          <w:szCs w:val="32"/>
        </w:rPr>
      </w:pPr>
      <w:r w:rsidRPr="00177786">
        <w:rPr>
          <w:b/>
          <w:sz w:val="32"/>
        </w:rPr>
        <w:t>12.</w:t>
      </w:r>
      <w:r w:rsidR="00515891" w:rsidRPr="00177786">
        <w:rPr>
          <w:b/>
          <w:sz w:val="32"/>
        </w:rPr>
        <w:tab/>
      </w:r>
      <w:r w:rsidRPr="00177786">
        <w:rPr>
          <w:b/>
          <w:sz w:val="32"/>
        </w:rPr>
        <w:t>Zmeny a doplnenia zmluvy</w:t>
      </w:r>
      <w:r w:rsidR="00515891" w:rsidRPr="00177786">
        <w:rPr>
          <w:b/>
          <w:sz w:val="32"/>
        </w:rPr>
        <w:br/>
      </w:r>
      <w:r w:rsidR="00515891" w:rsidRPr="008D506F">
        <w:rPr>
          <w:b/>
          <w:bCs/>
          <w:i/>
          <w:iCs/>
          <w:sz w:val="32"/>
          <w:szCs w:val="32"/>
        </w:rPr>
        <w:t>Amendment of the Contract</w:t>
      </w:r>
    </w:p>
    <w:p w14:paraId="02F5C2CB" w14:textId="733A0E29" w:rsidR="00586D02" w:rsidRPr="00177786" w:rsidRDefault="0055459B" w:rsidP="0055459B">
      <w:pPr>
        <w:pStyle w:val="CM6"/>
        <w:spacing w:after="120"/>
        <w:jc w:val="both"/>
        <w:rPr>
          <w:sz w:val="20"/>
        </w:rPr>
      </w:pPr>
      <w:r w:rsidRPr="00177786">
        <w:rPr>
          <w:sz w:val="20"/>
        </w:rPr>
        <w:t xml:space="preserve">Ak národná alebo európska legislatíva alebo AIB vyžaduje zmenu </w:t>
      </w:r>
      <w:r w:rsidR="0076562C">
        <w:rPr>
          <w:sz w:val="20"/>
        </w:rPr>
        <w:t xml:space="preserve">doménového </w:t>
      </w:r>
      <w:r w:rsidRPr="00177786">
        <w:rPr>
          <w:sz w:val="20"/>
        </w:rPr>
        <w:t xml:space="preserve">protokolu Slovenskej republiky, zmluvné strany sa zaväzujú vykonať všetky potrebné zmeny v tejto </w:t>
      </w:r>
      <w:r w:rsidR="0076562C">
        <w:rPr>
          <w:sz w:val="20"/>
        </w:rPr>
        <w:t>Z</w:t>
      </w:r>
      <w:r w:rsidR="0076562C" w:rsidRPr="00177786">
        <w:rPr>
          <w:sz w:val="20"/>
        </w:rPr>
        <w:t xml:space="preserve">mluve </w:t>
      </w:r>
      <w:r w:rsidRPr="00177786">
        <w:rPr>
          <w:sz w:val="20"/>
        </w:rPr>
        <w:t>tak, aby bola v súlade s</w:t>
      </w:r>
      <w:r w:rsidR="0076562C">
        <w:rPr>
          <w:sz w:val="20"/>
        </w:rPr>
        <w:t xml:space="preserve"> doménovým </w:t>
      </w:r>
      <w:r w:rsidRPr="00177786">
        <w:rPr>
          <w:sz w:val="20"/>
        </w:rPr>
        <w:t>protokolom spoločnosti SPP – distribúcia Slovenskej republiky. Zmluvné strany berú na vedomie a uvedomujú si, že komunikačn</w:t>
      </w:r>
      <w:r w:rsidR="0076562C">
        <w:rPr>
          <w:sz w:val="20"/>
        </w:rPr>
        <w:t xml:space="preserve">ý Hub </w:t>
      </w:r>
      <w:r w:rsidRPr="00177786">
        <w:rPr>
          <w:sz w:val="20"/>
        </w:rPr>
        <w:t xml:space="preserve">AIB využívajú viacerí používatelia komunikačného </w:t>
      </w:r>
      <w:r w:rsidR="0076562C">
        <w:rPr>
          <w:sz w:val="20"/>
        </w:rPr>
        <w:t>Hubu</w:t>
      </w:r>
      <w:r w:rsidR="0076562C" w:rsidRPr="00177786">
        <w:rPr>
          <w:sz w:val="20"/>
        </w:rPr>
        <w:t xml:space="preserve"> </w:t>
      </w:r>
      <w:r w:rsidRPr="00177786">
        <w:rPr>
          <w:sz w:val="20"/>
        </w:rPr>
        <w:t xml:space="preserve">a účastníci trhu a že akékoľvek úpravy komunikačného </w:t>
      </w:r>
      <w:r w:rsidR="0076562C">
        <w:rPr>
          <w:sz w:val="20"/>
        </w:rPr>
        <w:t>Hubu</w:t>
      </w:r>
      <w:r w:rsidR="0076562C" w:rsidRPr="00177786">
        <w:rPr>
          <w:sz w:val="20"/>
        </w:rPr>
        <w:t xml:space="preserve"> </w:t>
      </w:r>
      <w:r w:rsidRPr="00177786">
        <w:rPr>
          <w:sz w:val="20"/>
        </w:rPr>
        <w:t xml:space="preserve">alebo regulačného prostredia musia uplatňovať všetky zúčastnené strany. V prípade zmien </w:t>
      </w:r>
      <w:r w:rsidR="0076562C">
        <w:rPr>
          <w:sz w:val="20"/>
        </w:rPr>
        <w:t>Z</w:t>
      </w:r>
      <w:r w:rsidRPr="00177786">
        <w:rPr>
          <w:sz w:val="20"/>
        </w:rPr>
        <w:t xml:space="preserve">mluvy je účastník trhu povinný podpísať novú </w:t>
      </w:r>
      <w:r w:rsidR="0076562C">
        <w:rPr>
          <w:sz w:val="20"/>
        </w:rPr>
        <w:t>Z</w:t>
      </w:r>
      <w:r w:rsidRPr="00177786">
        <w:rPr>
          <w:sz w:val="20"/>
        </w:rPr>
        <w:t xml:space="preserve">mluvu a zaslať ju spoločnosti SPP – distribúcia do 30 kalendárnych dní odo dňa jej doručenia účastníkovi trhu. Ktorákoľvek zmluvná strana je oprávnená odstúpiť od </w:t>
      </w:r>
      <w:r w:rsidR="0076562C">
        <w:rPr>
          <w:sz w:val="20"/>
        </w:rPr>
        <w:t>Z</w:t>
      </w:r>
      <w:r w:rsidRPr="00177786">
        <w:rPr>
          <w:sz w:val="20"/>
        </w:rPr>
        <w:t xml:space="preserve">mluvy s okamžitou platnosťou, ak v stanovenej lehote nedôjde k podpisu novej </w:t>
      </w:r>
      <w:r w:rsidR="0076562C">
        <w:rPr>
          <w:sz w:val="20"/>
        </w:rPr>
        <w:t>Z</w:t>
      </w:r>
      <w:r w:rsidRPr="00177786">
        <w:rPr>
          <w:sz w:val="20"/>
        </w:rPr>
        <w:t>mluvy.</w:t>
      </w:r>
    </w:p>
    <w:p w14:paraId="64648335" w14:textId="32585D08" w:rsidR="002E6164" w:rsidRPr="008D506F" w:rsidRDefault="00586D02" w:rsidP="0055459B">
      <w:pPr>
        <w:pStyle w:val="CM6"/>
        <w:spacing w:after="120"/>
        <w:jc w:val="both"/>
        <w:rPr>
          <w:i/>
          <w:iCs/>
          <w:sz w:val="20"/>
          <w:szCs w:val="20"/>
        </w:rPr>
      </w:pPr>
      <w:r w:rsidRPr="008D506F">
        <w:rPr>
          <w:i/>
          <w:iCs/>
          <w:sz w:val="20"/>
          <w:szCs w:val="20"/>
        </w:rPr>
        <w:t>If the national or European legislation or the AIB require that the Domain Protocol of the Slovak Republic be amended, the Parties agree to make all the required changes to this Contract in order to make it coherent with the SPP – distribúcia’s Domain Protocol of the Slovak Republic. The Parties acknowledge and understand that the AIB Communication Hub is used by many Hub Users and Market Participants, and that any modifications to the Hub or the regulatory environment must be applied by all parties involved. In the event of amendments to the Contract, the Market Participant is obliged to sign the new Contract and send it to SPP - distribúcia within 30 calendar days from the date of its receipt by the Market Participant. Either Contracting Party is entitled to withdraw from the Contract with immediate effect if the new Contract is not signed within the specified period.</w:t>
      </w:r>
    </w:p>
    <w:p w14:paraId="2FE88F49" w14:textId="77777777" w:rsidR="00A54A53" w:rsidRDefault="00A54A53" w:rsidP="00BC2FF4">
      <w:pPr>
        <w:pStyle w:val="CM8"/>
        <w:keepNext/>
        <w:widowControl/>
        <w:spacing w:before="360" w:after="120"/>
        <w:ind w:left="851" w:hanging="567"/>
        <w:jc w:val="both"/>
        <w:rPr>
          <w:b/>
          <w:sz w:val="32"/>
        </w:rPr>
      </w:pPr>
    </w:p>
    <w:p w14:paraId="7F0A842F" w14:textId="7EA8E1BA" w:rsidR="002E6164" w:rsidRPr="008D506F" w:rsidRDefault="002E6164" w:rsidP="00BC2FF4">
      <w:pPr>
        <w:pStyle w:val="CM8"/>
        <w:keepNext/>
        <w:widowControl/>
        <w:spacing w:before="360" w:after="120"/>
        <w:ind w:left="851" w:hanging="567"/>
        <w:jc w:val="both"/>
        <w:rPr>
          <w:b/>
          <w:bCs/>
          <w:i/>
          <w:iCs/>
          <w:sz w:val="32"/>
          <w:szCs w:val="32"/>
        </w:rPr>
      </w:pPr>
      <w:r w:rsidRPr="00177786">
        <w:rPr>
          <w:b/>
          <w:sz w:val="32"/>
        </w:rPr>
        <w:t>13.</w:t>
      </w:r>
      <w:r w:rsidR="00BC2FF4" w:rsidRPr="00177786">
        <w:rPr>
          <w:b/>
          <w:sz w:val="32"/>
        </w:rPr>
        <w:tab/>
      </w:r>
      <w:r w:rsidRPr="00177786">
        <w:rPr>
          <w:b/>
          <w:sz w:val="32"/>
        </w:rPr>
        <w:t>Dôvernosť a duševné vlastníctvo</w:t>
      </w:r>
      <w:r w:rsidR="00BC2FF4" w:rsidRPr="00177786">
        <w:rPr>
          <w:b/>
          <w:sz w:val="32"/>
        </w:rPr>
        <w:br/>
      </w:r>
      <w:r w:rsidR="00BC2FF4" w:rsidRPr="008D506F">
        <w:rPr>
          <w:b/>
          <w:bCs/>
          <w:i/>
          <w:iCs/>
          <w:sz w:val="32"/>
          <w:szCs w:val="32"/>
        </w:rPr>
        <w:t>Confidentiality and Intellectual Property</w:t>
      </w:r>
    </w:p>
    <w:p w14:paraId="2402C2E3" w14:textId="77777777" w:rsidR="00E06574" w:rsidRPr="00177786" w:rsidRDefault="002E6164" w:rsidP="00E06574">
      <w:pPr>
        <w:pStyle w:val="CM4"/>
        <w:keepNext/>
        <w:keepLines/>
        <w:spacing w:after="120" w:line="240" w:lineRule="auto"/>
        <w:jc w:val="both"/>
        <w:rPr>
          <w:sz w:val="20"/>
        </w:rPr>
      </w:pPr>
      <w:r w:rsidRPr="00177786">
        <w:rPr>
          <w:sz w:val="20"/>
        </w:rPr>
        <w:t>S informáciami obchodného, technického, strategického, finančného alebo inak citlivého charakteru, ktoré nie sú verejne známe a zvyčajne sa považujú za cenné a dôverné, bez ohľadu na to, či sú výslovne označené ako dôverné, budú obe zmluvné strany zaobchádzať ako s dôvernými informáciami. Zverejnenie takýchto informácií si vyžaduje predchádzajúci písomný súhlas druhej zmluvnej strany.</w:t>
      </w:r>
      <w:r w:rsidRPr="00177786">
        <w:rPr>
          <w:sz w:val="20"/>
        </w:rPr>
        <w:br/>
        <w:t>Aby sa predišlo pochybnostiam, táto doložka o mlčanlivosti nebráni spoločnosti SPP – distribúcia, a.s. poskytovať informácie štátnym orgánom vrátane daňových orgánov a polície Slovenskej republiky a krajiny registrácie účastníka trhu a Europolu.</w:t>
      </w:r>
    </w:p>
    <w:p w14:paraId="517DE98C" w14:textId="0E1DB057" w:rsidR="002E6164" w:rsidRPr="008D506F" w:rsidRDefault="00E06574" w:rsidP="00E06574">
      <w:pPr>
        <w:pStyle w:val="CM4"/>
        <w:spacing w:after="120" w:line="240" w:lineRule="auto"/>
        <w:jc w:val="both"/>
        <w:rPr>
          <w:i/>
          <w:iCs/>
          <w:sz w:val="20"/>
          <w:szCs w:val="20"/>
        </w:rPr>
      </w:pPr>
      <w:r w:rsidRPr="008D506F">
        <w:rPr>
          <w:i/>
          <w:iCs/>
          <w:sz w:val="20"/>
          <w:szCs w:val="20"/>
        </w:rPr>
        <w:t>Information of commercial, technical, strategic, financial or otherwise sensitive nature, which is not publicly known and is usually considered as valuable and confidential, whether or not it is explicitly indicated as confidential, shall be treated as confidential information by both Parties. Disclosure of such information requires the prior written consent of the other Party.</w:t>
      </w:r>
      <w:r w:rsidRPr="008D506F">
        <w:rPr>
          <w:i/>
          <w:iCs/>
          <w:sz w:val="20"/>
          <w:szCs w:val="20"/>
        </w:rPr>
        <w:br/>
        <w:t>For the avoidance of doubt, this confidentiality clause does not prevent SPP - distribúcia, a.s. to give information to authorities including but not limited to the tax authorities and the police of the Slovak republic and the registration’s country of The Market Participant, and Europol.</w:t>
      </w:r>
    </w:p>
    <w:p w14:paraId="0D26B80E" w14:textId="153E364E" w:rsidR="00CA0E3B" w:rsidRPr="00177786" w:rsidRDefault="003A15BC" w:rsidP="00322897">
      <w:pPr>
        <w:pStyle w:val="Default"/>
        <w:spacing w:after="120"/>
        <w:jc w:val="both"/>
        <w:rPr>
          <w:color w:val="auto"/>
          <w:sz w:val="20"/>
        </w:rPr>
      </w:pPr>
      <w:r w:rsidRPr="00177786">
        <w:rPr>
          <w:color w:val="auto"/>
          <w:sz w:val="20"/>
        </w:rPr>
        <w:t xml:space="preserve">Softvér, ktorý sa používa na prevádzku registračnej databázy a transakcií, spolu so všetkými súvisiacimi nástrojmi, know-how a právami duševného vlastníctva, je a zostáva výlučným vlastníctvom spoločnosti SPP – distribúcia, a.s., AIB alebo ich poskytovateľov služieb alebo poskytovateľov licencií. Softvérový kód, dokumentácia a vo všeobecnosti všetko súvisiace know-how sa musí považovať za dôverné informácie, aj keď nie sú výslovne zverejnené ako také. Účastník trhu používa služby a súvisiaci softvér len na účely tejto </w:t>
      </w:r>
      <w:r w:rsidR="0076562C">
        <w:rPr>
          <w:color w:val="auto"/>
          <w:sz w:val="20"/>
        </w:rPr>
        <w:t>Z</w:t>
      </w:r>
      <w:r w:rsidR="0076562C" w:rsidRPr="00177786">
        <w:rPr>
          <w:color w:val="auto"/>
          <w:sz w:val="20"/>
        </w:rPr>
        <w:t xml:space="preserve">mluvy </w:t>
      </w:r>
      <w:r w:rsidRPr="00177786">
        <w:rPr>
          <w:color w:val="auto"/>
          <w:sz w:val="20"/>
        </w:rPr>
        <w:t>a nesmie kopírovať, reprodukovať, spätne analyzovať, dekompilovať ani meniť, prispôsobovať alebo upravovať žiadnu časť softvéru alebo súvisiacej dokumentácie.</w:t>
      </w:r>
    </w:p>
    <w:p w14:paraId="44715233" w14:textId="4EA438E0" w:rsidR="003A15BC" w:rsidRPr="008D506F" w:rsidRDefault="00CA0E3B" w:rsidP="00322897">
      <w:pPr>
        <w:pStyle w:val="Default"/>
        <w:spacing w:after="120"/>
        <w:jc w:val="both"/>
        <w:rPr>
          <w:i/>
          <w:iCs/>
          <w:color w:val="auto"/>
          <w:sz w:val="20"/>
          <w:szCs w:val="20"/>
        </w:rPr>
      </w:pPr>
      <w:r w:rsidRPr="008D506F">
        <w:rPr>
          <w:i/>
          <w:iCs/>
          <w:color w:val="auto"/>
          <w:sz w:val="20"/>
          <w:szCs w:val="20"/>
        </w:rPr>
        <w:lastRenderedPageBreak/>
        <w:t>The software that is used to enable the operation of the Registration Database and the Transactions, together with all included tools, know-how and related intellectual property rights, is and shall remain the exclusive property of SPP - distribúcia, a.s., the AIB or their service providers or licensors. The software code, documentation and in general all related know-how must be considered confidential information, even if not explicitly disclosed as such. The Market Participant shall use the services and the related software only for the purposes of this Contract and shall not copy, reproduce, reverse engineer, decompile nor alter, adapt or modify any part of the software or related documentation.</w:t>
      </w:r>
    </w:p>
    <w:p w14:paraId="2E4FA587" w14:textId="77777777" w:rsidR="00A54A53" w:rsidRDefault="00A54A53" w:rsidP="00144E0B">
      <w:pPr>
        <w:pStyle w:val="Default"/>
        <w:spacing w:before="240" w:after="120"/>
        <w:ind w:left="851" w:hanging="567"/>
        <w:jc w:val="both"/>
        <w:rPr>
          <w:b/>
          <w:color w:val="auto"/>
          <w:sz w:val="32"/>
        </w:rPr>
      </w:pPr>
    </w:p>
    <w:p w14:paraId="56E43855" w14:textId="58938484" w:rsidR="0055459B" w:rsidRPr="008D506F" w:rsidRDefault="00551B9E" w:rsidP="00144E0B">
      <w:pPr>
        <w:pStyle w:val="Default"/>
        <w:spacing w:before="240" w:after="120"/>
        <w:ind w:left="851" w:hanging="567"/>
        <w:jc w:val="both"/>
        <w:rPr>
          <w:b/>
          <w:bCs/>
          <w:i/>
          <w:iCs/>
          <w:color w:val="auto"/>
          <w:sz w:val="32"/>
          <w:szCs w:val="32"/>
        </w:rPr>
      </w:pPr>
      <w:r w:rsidRPr="00177786">
        <w:rPr>
          <w:b/>
          <w:color w:val="auto"/>
          <w:sz w:val="32"/>
        </w:rPr>
        <w:t>14.</w:t>
      </w:r>
      <w:r w:rsidR="00CA0E3B" w:rsidRPr="00177786">
        <w:rPr>
          <w:b/>
          <w:color w:val="auto"/>
          <w:sz w:val="32"/>
        </w:rPr>
        <w:tab/>
      </w:r>
      <w:r w:rsidRPr="00177786">
        <w:rPr>
          <w:b/>
          <w:color w:val="auto"/>
          <w:sz w:val="32"/>
        </w:rPr>
        <w:t>Výkazy DPH</w:t>
      </w:r>
      <w:r w:rsidR="00CA0E3B" w:rsidRPr="00177786">
        <w:rPr>
          <w:b/>
          <w:color w:val="auto"/>
          <w:sz w:val="32"/>
        </w:rPr>
        <w:br/>
      </w:r>
      <w:r w:rsidR="00144E0B" w:rsidRPr="008D506F">
        <w:rPr>
          <w:b/>
          <w:bCs/>
          <w:i/>
          <w:iCs/>
          <w:color w:val="auto"/>
          <w:sz w:val="32"/>
          <w:szCs w:val="32"/>
        </w:rPr>
        <w:t>VAT Statements</w:t>
      </w:r>
    </w:p>
    <w:p w14:paraId="0E68B5E3" w14:textId="046F83C8" w:rsidR="00400AC2" w:rsidRPr="00177786" w:rsidRDefault="00E54E75" w:rsidP="00144E0B">
      <w:pPr>
        <w:pStyle w:val="Default"/>
        <w:spacing w:after="120"/>
        <w:jc w:val="both"/>
        <w:rPr>
          <w:color w:val="auto"/>
          <w:sz w:val="20"/>
        </w:rPr>
      </w:pPr>
      <w:r w:rsidRPr="00177786">
        <w:rPr>
          <w:color w:val="auto"/>
          <w:sz w:val="20"/>
        </w:rPr>
        <w:t xml:space="preserve">Účastník trhu </w:t>
      </w:r>
      <w:r w:rsidR="008828D7" w:rsidRPr="00177786">
        <w:rPr>
          <w:color w:val="auto"/>
          <w:sz w:val="20"/>
        </w:rPr>
        <w:t xml:space="preserve">je povinný </w:t>
      </w:r>
      <w:r w:rsidRPr="00177786">
        <w:rPr>
          <w:color w:val="auto"/>
          <w:sz w:val="20"/>
        </w:rPr>
        <w:t>dodržiava</w:t>
      </w:r>
      <w:r w:rsidR="008828D7" w:rsidRPr="00177786">
        <w:rPr>
          <w:color w:val="auto"/>
          <w:sz w:val="20"/>
        </w:rPr>
        <w:t>ť</w:t>
      </w:r>
      <w:r w:rsidRPr="00177786">
        <w:rPr>
          <w:color w:val="auto"/>
          <w:sz w:val="20"/>
        </w:rPr>
        <w:t xml:space="preserve"> a dôsledne sa riadi</w:t>
      </w:r>
      <w:r w:rsidR="008828D7" w:rsidRPr="00177786">
        <w:rPr>
          <w:color w:val="auto"/>
          <w:sz w:val="20"/>
        </w:rPr>
        <w:t>ť</w:t>
      </w:r>
      <w:r w:rsidRPr="00177786">
        <w:rPr>
          <w:color w:val="auto"/>
          <w:sz w:val="20"/>
        </w:rPr>
        <w:t xml:space="preserve"> platnými právnymi predpismi v oblasti nepriamych daní vrátane smernice Rady 2006/112/ES z 28. novembra 2006 o spoločnom systéme dane z pridanej hodnoty v podobe, v akej bola transponovaná do vnútroštátnych právnych predpisov.</w:t>
      </w:r>
    </w:p>
    <w:p w14:paraId="5C340312" w14:textId="017F5EE9" w:rsidR="0055459B" w:rsidRPr="008D506F" w:rsidRDefault="00400AC2" w:rsidP="00144E0B">
      <w:pPr>
        <w:pStyle w:val="Default"/>
        <w:spacing w:after="120"/>
        <w:jc w:val="both"/>
        <w:rPr>
          <w:i/>
          <w:iCs/>
          <w:color w:val="auto"/>
          <w:sz w:val="20"/>
          <w:szCs w:val="20"/>
        </w:rPr>
      </w:pPr>
      <w:r w:rsidRPr="008D506F">
        <w:rPr>
          <w:i/>
          <w:iCs/>
          <w:color w:val="auto"/>
          <w:sz w:val="20"/>
          <w:szCs w:val="20"/>
        </w:rPr>
        <w:t>The Market Participant shall comply with and closely follow the applicable local indirect tax legislation, including Council Directive 2006/112/EC of 28 November 2006 on the common system of value added tax, as transposed into the domestic legislation.</w:t>
      </w:r>
    </w:p>
    <w:p w14:paraId="64F2DF22" w14:textId="0EB6081C" w:rsidR="006A2079" w:rsidRPr="00177786" w:rsidRDefault="00E54E75" w:rsidP="00144E0B">
      <w:pPr>
        <w:pStyle w:val="Default"/>
        <w:spacing w:after="120"/>
        <w:jc w:val="both"/>
        <w:rPr>
          <w:color w:val="auto"/>
          <w:sz w:val="20"/>
        </w:rPr>
      </w:pPr>
      <w:r w:rsidRPr="00177786">
        <w:rPr>
          <w:color w:val="auto"/>
          <w:sz w:val="20"/>
        </w:rPr>
        <w:t xml:space="preserve">Účastník trhu podpisom tejto </w:t>
      </w:r>
      <w:r w:rsidR="0076562C">
        <w:rPr>
          <w:color w:val="auto"/>
          <w:sz w:val="20"/>
        </w:rPr>
        <w:t>Z</w:t>
      </w:r>
      <w:r w:rsidR="0076562C" w:rsidRPr="00177786">
        <w:rPr>
          <w:color w:val="auto"/>
          <w:sz w:val="20"/>
        </w:rPr>
        <w:t xml:space="preserve">mluvy </w:t>
      </w:r>
      <w:r w:rsidRPr="00177786">
        <w:rPr>
          <w:color w:val="auto"/>
          <w:sz w:val="20"/>
        </w:rPr>
        <w:t>potvrdzuje, že neuzatvoril a neuzatvorí žiadne transakcie bez ekonomickej podstaty, ktorých účelom alebo dôsledkom je alebo by mohlo byť úmyselné vyhýbanie sa plateniu daní, úmyselné zníženie daňovej povinnosti alebo získanie daňovej výhody, na ktorú by inak daňovník nemal nárok.</w:t>
      </w:r>
    </w:p>
    <w:p w14:paraId="7D696C11" w14:textId="5869912A" w:rsidR="00E54E75" w:rsidRPr="008D506F" w:rsidRDefault="006A2079" w:rsidP="00144E0B">
      <w:pPr>
        <w:pStyle w:val="Default"/>
        <w:spacing w:after="120"/>
        <w:jc w:val="both"/>
        <w:rPr>
          <w:i/>
          <w:iCs/>
          <w:color w:val="auto"/>
          <w:sz w:val="20"/>
          <w:szCs w:val="20"/>
        </w:rPr>
      </w:pPr>
      <w:r w:rsidRPr="008D506F">
        <w:rPr>
          <w:i/>
          <w:iCs/>
          <w:color w:val="auto"/>
          <w:sz w:val="20"/>
          <w:szCs w:val="20"/>
        </w:rPr>
        <w:t>By signing this Contract, the Market Participant acknowledges that it has not entered into, and will not enter into, any transactions lacking economic substance, the purpose or effect of which is, or could be, the deliberate avoidance of tax, the deliberate reduction of tax liability, or the obtaining of a tax advantage which the taxpayer would not otherwise have been entitled to.</w:t>
      </w:r>
    </w:p>
    <w:p w14:paraId="70F306D4" w14:textId="77777777" w:rsidR="00A54A53" w:rsidRDefault="00A54A53" w:rsidP="005522D8">
      <w:pPr>
        <w:pStyle w:val="CM8"/>
        <w:keepNext/>
        <w:widowControl/>
        <w:spacing w:before="360" w:after="120"/>
        <w:ind w:left="851" w:hanging="567"/>
        <w:jc w:val="both"/>
        <w:rPr>
          <w:b/>
          <w:sz w:val="32"/>
        </w:rPr>
      </w:pPr>
    </w:p>
    <w:p w14:paraId="4A6B3F13" w14:textId="4457A21D" w:rsidR="002E6164" w:rsidRPr="008D506F" w:rsidRDefault="002E6164" w:rsidP="005522D8">
      <w:pPr>
        <w:pStyle w:val="CM8"/>
        <w:keepNext/>
        <w:widowControl/>
        <w:spacing w:before="360" w:after="120"/>
        <w:ind w:left="851" w:hanging="567"/>
        <w:jc w:val="both"/>
        <w:rPr>
          <w:b/>
          <w:bCs/>
          <w:i/>
          <w:iCs/>
          <w:sz w:val="32"/>
          <w:szCs w:val="32"/>
        </w:rPr>
      </w:pPr>
      <w:r w:rsidRPr="00177786">
        <w:rPr>
          <w:b/>
          <w:sz w:val="32"/>
        </w:rPr>
        <w:t>15.</w:t>
      </w:r>
      <w:r w:rsidR="005522D8" w:rsidRPr="00177786">
        <w:rPr>
          <w:b/>
          <w:sz w:val="32"/>
        </w:rPr>
        <w:tab/>
      </w:r>
      <w:r w:rsidRPr="00177786">
        <w:rPr>
          <w:b/>
          <w:sz w:val="32"/>
        </w:rPr>
        <w:t>Postúpenie a trvanie zmluvy</w:t>
      </w:r>
      <w:r w:rsidR="005522D8" w:rsidRPr="00177786">
        <w:rPr>
          <w:b/>
          <w:sz w:val="32"/>
        </w:rPr>
        <w:br/>
      </w:r>
      <w:r w:rsidR="005522D8" w:rsidRPr="008D506F">
        <w:rPr>
          <w:b/>
          <w:bCs/>
          <w:i/>
          <w:iCs/>
          <w:sz w:val="32"/>
          <w:szCs w:val="32"/>
        </w:rPr>
        <w:t>Assignment and Duration of the Contract</w:t>
      </w:r>
    </w:p>
    <w:p w14:paraId="48551955" w14:textId="5B5D4800" w:rsidR="00897AE2" w:rsidRPr="00177786" w:rsidRDefault="00E54E75" w:rsidP="00E54E75">
      <w:pPr>
        <w:pStyle w:val="Default"/>
        <w:spacing w:after="120"/>
        <w:jc w:val="both"/>
        <w:rPr>
          <w:color w:val="auto"/>
          <w:sz w:val="20"/>
        </w:rPr>
      </w:pPr>
      <w:r w:rsidRPr="00177786">
        <w:rPr>
          <w:color w:val="auto"/>
          <w:sz w:val="20"/>
        </w:rPr>
        <w:t xml:space="preserve">Každá zmluvná strana môže postúpiť túto </w:t>
      </w:r>
      <w:r w:rsidR="0076562C">
        <w:rPr>
          <w:color w:val="auto"/>
          <w:sz w:val="20"/>
        </w:rPr>
        <w:t>Z</w:t>
      </w:r>
      <w:r w:rsidRPr="00177786">
        <w:rPr>
          <w:color w:val="auto"/>
          <w:sz w:val="20"/>
        </w:rPr>
        <w:t xml:space="preserve">mluvu len s predchádzajúcim písomným súhlasom druhej zmluvnej strany. Takýto súhlas sa nesmie bezdôvodne odoprieť alebo odložiť. Každá zmluvná strana však môže túto </w:t>
      </w:r>
      <w:r w:rsidR="0076562C">
        <w:rPr>
          <w:color w:val="auto"/>
          <w:sz w:val="20"/>
        </w:rPr>
        <w:t>Z</w:t>
      </w:r>
      <w:r w:rsidRPr="00177786">
        <w:rPr>
          <w:color w:val="auto"/>
          <w:sz w:val="20"/>
        </w:rPr>
        <w:t>mluvu kedykoľvek postúpiť na prepojenú spoločnosť bez toho, aby potrebovala takýto súhlas.</w:t>
      </w:r>
    </w:p>
    <w:p w14:paraId="6DC10B46" w14:textId="068C1D85" w:rsidR="00E54E75" w:rsidRPr="008D506F" w:rsidRDefault="00897AE2" w:rsidP="00E54E75">
      <w:pPr>
        <w:pStyle w:val="Default"/>
        <w:spacing w:after="120"/>
        <w:jc w:val="both"/>
        <w:rPr>
          <w:i/>
          <w:iCs/>
          <w:color w:val="auto"/>
          <w:sz w:val="20"/>
          <w:szCs w:val="20"/>
        </w:rPr>
      </w:pPr>
      <w:r w:rsidRPr="008D506F">
        <w:rPr>
          <w:i/>
          <w:iCs/>
          <w:color w:val="auto"/>
          <w:sz w:val="20"/>
          <w:szCs w:val="20"/>
        </w:rPr>
        <w:t>Each Party may assign this Contract only with the prior written consent of the other Party. Such consent shall not be unreasonably withheld or delayed. Each Party may, however, assign this Contract at any time to an affiliated company without requiring such consent.</w:t>
      </w:r>
    </w:p>
    <w:p w14:paraId="4CE5CD3A" w14:textId="24A015C6" w:rsidR="004C4DC7" w:rsidRPr="00177786" w:rsidRDefault="00E54E75" w:rsidP="00E54E75">
      <w:pPr>
        <w:pStyle w:val="Default"/>
        <w:spacing w:after="120"/>
        <w:jc w:val="both"/>
        <w:rPr>
          <w:color w:val="auto"/>
          <w:sz w:val="20"/>
        </w:rPr>
      </w:pPr>
      <w:r w:rsidRPr="00177786">
        <w:rPr>
          <w:color w:val="auto"/>
          <w:sz w:val="20"/>
        </w:rPr>
        <w:t xml:space="preserve">Táto </w:t>
      </w:r>
      <w:r w:rsidR="0076562C">
        <w:rPr>
          <w:color w:val="auto"/>
          <w:sz w:val="20"/>
        </w:rPr>
        <w:t>Z</w:t>
      </w:r>
      <w:r w:rsidRPr="00177786">
        <w:rPr>
          <w:color w:val="auto"/>
          <w:sz w:val="20"/>
        </w:rPr>
        <w:t>mluva sa uzatvára na dobu neurčitú, pokiaľ ju niektorá zo zmluvných strán písomne nevypovie.</w:t>
      </w:r>
    </w:p>
    <w:p w14:paraId="21DA785D" w14:textId="5D3B7434" w:rsidR="00E54E75" w:rsidRPr="008D506F" w:rsidRDefault="004C4DC7" w:rsidP="00E54E75">
      <w:pPr>
        <w:pStyle w:val="Default"/>
        <w:spacing w:after="120"/>
        <w:jc w:val="both"/>
        <w:rPr>
          <w:i/>
          <w:iCs/>
          <w:color w:val="auto"/>
          <w:sz w:val="20"/>
          <w:szCs w:val="20"/>
        </w:rPr>
      </w:pPr>
      <w:r w:rsidRPr="008D506F">
        <w:rPr>
          <w:i/>
          <w:iCs/>
          <w:color w:val="auto"/>
          <w:sz w:val="20"/>
          <w:szCs w:val="20"/>
        </w:rPr>
        <w:t>This Contract is concluded for an indefinite period, unless terminated in writing by either Party.</w:t>
      </w:r>
    </w:p>
    <w:p w14:paraId="6A54D9C2" w14:textId="2C700461" w:rsidR="00AC459A" w:rsidRPr="00177786" w:rsidRDefault="00E54E75" w:rsidP="008917F3">
      <w:pPr>
        <w:pStyle w:val="Default"/>
        <w:spacing w:after="120"/>
        <w:jc w:val="both"/>
        <w:rPr>
          <w:color w:val="auto"/>
          <w:sz w:val="20"/>
        </w:rPr>
      </w:pPr>
      <w:r w:rsidRPr="00177786">
        <w:rPr>
          <w:color w:val="auto"/>
          <w:sz w:val="20"/>
        </w:rPr>
        <w:t xml:space="preserve">Každá zo zmluvných strán môže túto </w:t>
      </w:r>
      <w:r w:rsidR="0076562C">
        <w:rPr>
          <w:color w:val="auto"/>
          <w:sz w:val="20"/>
        </w:rPr>
        <w:t>Z</w:t>
      </w:r>
      <w:r w:rsidRPr="00177786">
        <w:rPr>
          <w:color w:val="auto"/>
          <w:sz w:val="20"/>
        </w:rPr>
        <w:t>mluvu vypovedať podľa vlastného uváženia písomným oznámením druhej zmluvnej strane s výpovednou lehotou tridsať (30) kalendárnych dní.</w:t>
      </w:r>
    </w:p>
    <w:p w14:paraId="5B412081" w14:textId="0B417C93" w:rsidR="00E54E75" w:rsidRPr="008D506F" w:rsidRDefault="00AC459A" w:rsidP="008917F3">
      <w:pPr>
        <w:pStyle w:val="Default"/>
        <w:spacing w:after="120"/>
        <w:jc w:val="both"/>
        <w:rPr>
          <w:i/>
          <w:iCs/>
          <w:color w:val="auto"/>
          <w:sz w:val="20"/>
          <w:szCs w:val="20"/>
        </w:rPr>
      </w:pPr>
      <w:r w:rsidRPr="008D506F">
        <w:rPr>
          <w:i/>
          <w:iCs/>
          <w:color w:val="auto"/>
          <w:sz w:val="20"/>
          <w:szCs w:val="20"/>
        </w:rPr>
        <w:t>Either Party may terminate this Contract at its discretion by giving thirty (30) calendar days’ written notice to the other Party.</w:t>
      </w:r>
    </w:p>
    <w:p w14:paraId="60DFE3AF" w14:textId="35C5C407" w:rsidR="002E6164" w:rsidRPr="008D506F" w:rsidRDefault="002E6164" w:rsidP="00021937">
      <w:pPr>
        <w:pStyle w:val="CM8"/>
        <w:keepNext/>
        <w:widowControl/>
        <w:spacing w:before="360" w:after="120"/>
        <w:ind w:left="851" w:hanging="709"/>
        <w:jc w:val="both"/>
        <w:rPr>
          <w:b/>
          <w:bCs/>
          <w:i/>
          <w:iCs/>
          <w:sz w:val="32"/>
          <w:szCs w:val="32"/>
        </w:rPr>
      </w:pPr>
      <w:r w:rsidRPr="00177786">
        <w:rPr>
          <w:b/>
          <w:sz w:val="32"/>
        </w:rPr>
        <w:lastRenderedPageBreak/>
        <w:t>15.</w:t>
      </w:r>
      <w:r w:rsidR="00021937" w:rsidRPr="00177786">
        <w:rPr>
          <w:b/>
          <w:sz w:val="32"/>
        </w:rPr>
        <w:tab/>
      </w:r>
      <w:r w:rsidRPr="00177786">
        <w:rPr>
          <w:b/>
          <w:sz w:val="32"/>
        </w:rPr>
        <w:t>Riešenie sporov</w:t>
      </w:r>
      <w:r w:rsidR="00021937" w:rsidRPr="00177786">
        <w:rPr>
          <w:b/>
          <w:sz w:val="32"/>
        </w:rPr>
        <w:br/>
      </w:r>
      <w:r w:rsidR="00021937" w:rsidRPr="008D506F">
        <w:rPr>
          <w:b/>
          <w:bCs/>
          <w:i/>
          <w:iCs/>
          <w:sz w:val="32"/>
          <w:szCs w:val="32"/>
        </w:rPr>
        <w:t>Dispute resolution</w:t>
      </w:r>
    </w:p>
    <w:p w14:paraId="393DA65E" w14:textId="6064C099" w:rsidR="00964030" w:rsidRPr="00177786" w:rsidRDefault="002E6164" w:rsidP="00F52A90">
      <w:pPr>
        <w:pStyle w:val="CM11"/>
        <w:spacing w:after="120"/>
        <w:ind w:right="33"/>
        <w:jc w:val="both"/>
        <w:rPr>
          <w:sz w:val="20"/>
        </w:rPr>
      </w:pPr>
      <w:r w:rsidRPr="00177786">
        <w:rPr>
          <w:sz w:val="20"/>
        </w:rPr>
        <w:t xml:space="preserve">Spory vyplývajúce z tejto </w:t>
      </w:r>
      <w:r w:rsidR="0076562C">
        <w:rPr>
          <w:sz w:val="20"/>
        </w:rPr>
        <w:t>Z</w:t>
      </w:r>
      <w:r w:rsidRPr="00177786">
        <w:rPr>
          <w:sz w:val="20"/>
        </w:rPr>
        <w:t xml:space="preserve">mluvy sa </w:t>
      </w:r>
      <w:r w:rsidR="00777C5E" w:rsidRPr="00177786">
        <w:rPr>
          <w:sz w:val="20"/>
        </w:rPr>
        <w:t xml:space="preserve">budú </w:t>
      </w:r>
      <w:r w:rsidRPr="00177786">
        <w:rPr>
          <w:sz w:val="20"/>
        </w:rPr>
        <w:t>rieš</w:t>
      </w:r>
      <w:r w:rsidR="00777C5E" w:rsidRPr="00177786">
        <w:rPr>
          <w:sz w:val="20"/>
        </w:rPr>
        <w:t>iť</w:t>
      </w:r>
      <w:r w:rsidRPr="00177786">
        <w:rPr>
          <w:sz w:val="20"/>
        </w:rPr>
        <w:t xml:space="preserve"> podľa vnútroštátneho práva, vnútroštátnej jurisdikcie a vnútroštátnych súdov.</w:t>
      </w:r>
    </w:p>
    <w:p w14:paraId="082E93A2" w14:textId="14270D80" w:rsidR="002E6164" w:rsidRPr="008D506F" w:rsidRDefault="00964030" w:rsidP="00F52A90">
      <w:pPr>
        <w:pStyle w:val="CM11"/>
        <w:spacing w:after="120"/>
        <w:ind w:right="33"/>
        <w:jc w:val="both"/>
        <w:rPr>
          <w:i/>
          <w:iCs/>
          <w:sz w:val="20"/>
          <w:szCs w:val="20"/>
        </w:rPr>
      </w:pPr>
      <w:r w:rsidRPr="008D506F">
        <w:rPr>
          <w:i/>
          <w:iCs/>
          <w:sz w:val="20"/>
          <w:szCs w:val="20"/>
        </w:rPr>
        <w:t>Disputes arising out of this Contract shall be settled according to national law, national jurisdiction and national courts.</w:t>
      </w:r>
    </w:p>
    <w:p w14:paraId="0B171376" w14:textId="143D92BD" w:rsidR="00D201F5" w:rsidRPr="00177786" w:rsidRDefault="006563C6" w:rsidP="00A96892">
      <w:pPr>
        <w:pStyle w:val="Default"/>
        <w:spacing w:after="120"/>
        <w:jc w:val="both"/>
        <w:rPr>
          <w:color w:val="auto"/>
          <w:sz w:val="20"/>
        </w:rPr>
      </w:pPr>
      <w:r w:rsidRPr="00177786">
        <w:rPr>
          <w:color w:val="auto"/>
          <w:sz w:val="20"/>
        </w:rPr>
        <w:t xml:space="preserve">V prípade sporov môže dátový protokol komunikačného </w:t>
      </w:r>
      <w:r w:rsidR="0076562C">
        <w:rPr>
          <w:color w:val="auto"/>
          <w:sz w:val="20"/>
        </w:rPr>
        <w:t>Hubu</w:t>
      </w:r>
      <w:r w:rsidR="0076562C" w:rsidRPr="00177786">
        <w:rPr>
          <w:color w:val="auto"/>
          <w:sz w:val="20"/>
        </w:rPr>
        <w:t xml:space="preserve"> </w:t>
      </w:r>
      <w:r w:rsidRPr="00177786">
        <w:rPr>
          <w:color w:val="auto"/>
          <w:sz w:val="20"/>
        </w:rPr>
        <w:t xml:space="preserve">AIB poskytnúť dôkaz o údajoch, ktoré boli prostredníctvom neho prenesené a o čase ich prenosu a v takom prípade </w:t>
      </w:r>
      <w:r w:rsidR="00777C5E" w:rsidRPr="00177786">
        <w:rPr>
          <w:color w:val="auto"/>
          <w:sz w:val="20"/>
        </w:rPr>
        <w:t xml:space="preserve">je </w:t>
      </w:r>
      <w:r w:rsidRPr="00177786">
        <w:rPr>
          <w:color w:val="auto"/>
          <w:sz w:val="20"/>
        </w:rPr>
        <w:t xml:space="preserve">účastník trhu </w:t>
      </w:r>
      <w:r w:rsidR="00777C5E" w:rsidRPr="00177786">
        <w:rPr>
          <w:color w:val="auto"/>
          <w:sz w:val="20"/>
        </w:rPr>
        <w:t xml:space="preserve">povinný </w:t>
      </w:r>
      <w:r w:rsidRPr="00177786">
        <w:rPr>
          <w:color w:val="auto"/>
          <w:sz w:val="20"/>
        </w:rPr>
        <w:t>akcept</w:t>
      </w:r>
      <w:r w:rsidR="00777C5E" w:rsidRPr="00177786">
        <w:rPr>
          <w:color w:val="auto"/>
          <w:sz w:val="20"/>
        </w:rPr>
        <w:t>ovať</w:t>
      </w:r>
      <w:r w:rsidRPr="00177786">
        <w:rPr>
          <w:color w:val="auto"/>
          <w:sz w:val="20"/>
        </w:rPr>
        <w:t xml:space="preserve"> vyhlásenie AIB ako záväzné vyhlásenie.</w:t>
      </w:r>
    </w:p>
    <w:p w14:paraId="7DE26645" w14:textId="3CA7C400" w:rsidR="006563C6" w:rsidRPr="008D506F" w:rsidRDefault="00D201F5" w:rsidP="00A96892">
      <w:pPr>
        <w:pStyle w:val="Default"/>
        <w:spacing w:after="120"/>
        <w:jc w:val="both"/>
        <w:rPr>
          <w:i/>
          <w:iCs/>
          <w:color w:val="auto"/>
          <w:sz w:val="20"/>
          <w:szCs w:val="20"/>
        </w:rPr>
      </w:pPr>
      <w:r w:rsidRPr="008D506F">
        <w:rPr>
          <w:i/>
          <w:iCs/>
          <w:color w:val="auto"/>
          <w:sz w:val="20"/>
          <w:szCs w:val="20"/>
        </w:rPr>
        <w:t>In case of disputes, the AIB Hub’s Data Log may provide evidence as to the data that have been transferred through the Hub and the time thereof and in such case The Market Participant shall accept the statement of the AIB as a binding statement.</w:t>
      </w:r>
    </w:p>
    <w:p w14:paraId="7E41489B" w14:textId="77777777" w:rsidR="00614BD0" w:rsidRPr="008D506F" w:rsidRDefault="00614BD0" w:rsidP="000726AE">
      <w:pPr>
        <w:pStyle w:val="Default"/>
        <w:rPr>
          <w:color w:val="auto"/>
          <w:sz w:val="20"/>
          <w:szCs w:val="20"/>
        </w:rPr>
      </w:pPr>
    </w:p>
    <w:p w14:paraId="3B28495B" w14:textId="77777777" w:rsidR="000726AE" w:rsidRDefault="000726AE" w:rsidP="000726AE">
      <w:pPr>
        <w:pStyle w:val="Default"/>
        <w:rPr>
          <w:color w:val="auto"/>
          <w:sz w:val="20"/>
          <w:szCs w:val="20"/>
        </w:rPr>
      </w:pPr>
    </w:p>
    <w:p w14:paraId="489FFEB4" w14:textId="43D491F9" w:rsidR="002E4657" w:rsidRDefault="00F06D5B" w:rsidP="000726AE">
      <w:pPr>
        <w:pStyle w:val="Default"/>
        <w:rPr>
          <w:color w:val="auto"/>
          <w:sz w:val="20"/>
          <w:szCs w:val="20"/>
        </w:rPr>
      </w:pPr>
      <w:r w:rsidRPr="00F06D5B">
        <w:rPr>
          <w:color w:val="auto"/>
          <w:sz w:val="20"/>
          <w:szCs w:val="20"/>
        </w:rPr>
        <w:t>T</w:t>
      </w:r>
      <w:r w:rsidR="00C05E7A">
        <w:rPr>
          <w:color w:val="auto"/>
          <w:sz w:val="20"/>
          <w:szCs w:val="20"/>
        </w:rPr>
        <w:t xml:space="preserve">áto </w:t>
      </w:r>
      <w:r w:rsidRPr="00F06D5B">
        <w:rPr>
          <w:color w:val="auto"/>
          <w:sz w:val="20"/>
          <w:szCs w:val="20"/>
        </w:rPr>
        <w:t>Zmluva je vyhotovená v</w:t>
      </w:r>
      <w:r w:rsidR="00C05E7A">
        <w:rPr>
          <w:color w:val="auto"/>
          <w:sz w:val="20"/>
          <w:szCs w:val="20"/>
        </w:rPr>
        <w:t> dvoch</w:t>
      </w:r>
      <w:r w:rsidRPr="00F06D5B">
        <w:rPr>
          <w:color w:val="auto"/>
          <w:sz w:val="20"/>
          <w:szCs w:val="20"/>
        </w:rPr>
        <w:t xml:space="preserve"> rovnopisoch, po </w:t>
      </w:r>
      <w:r w:rsidR="00C05E7A">
        <w:rPr>
          <w:color w:val="auto"/>
          <w:sz w:val="20"/>
          <w:szCs w:val="20"/>
        </w:rPr>
        <w:t>jednom rovnopise</w:t>
      </w:r>
      <w:r w:rsidRPr="00F06D5B">
        <w:rPr>
          <w:color w:val="auto"/>
          <w:sz w:val="20"/>
          <w:szCs w:val="20"/>
        </w:rPr>
        <w:t xml:space="preserve"> pre každú </w:t>
      </w:r>
      <w:r w:rsidR="00687F0D">
        <w:rPr>
          <w:color w:val="auto"/>
          <w:sz w:val="20"/>
          <w:szCs w:val="20"/>
        </w:rPr>
        <w:t>z</w:t>
      </w:r>
      <w:r w:rsidRPr="00F06D5B">
        <w:rPr>
          <w:color w:val="auto"/>
          <w:sz w:val="20"/>
          <w:szCs w:val="20"/>
        </w:rPr>
        <w:t>mluvnú stranu</w:t>
      </w:r>
    </w:p>
    <w:p w14:paraId="590AC3D5" w14:textId="77777777" w:rsidR="00904C4A" w:rsidRDefault="00904C4A" w:rsidP="000726AE">
      <w:pPr>
        <w:pStyle w:val="Default"/>
        <w:rPr>
          <w:color w:val="auto"/>
          <w:sz w:val="20"/>
          <w:szCs w:val="20"/>
        </w:rPr>
      </w:pPr>
    </w:p>
    <w:p w14:paraId="49C2071C" w14:textId="3347801E" w:rsidR="002E4657" w:rsidRPr="00687F0D" w:rsidRDefault="00904C4A" w:rsidP="000726AE">
      <w:pPr>
        <w:pStyle w:val="Default"/>
        <w:rPr>
          <w:i/>
          <w:iCs/>
          <w:color w:val="auto"/>
          <w:sz w:val="20"/>
          <w:szCs w:val="20"/>
        </w:rPr>
      </w:pPr>
      <w:r w:rsidRPr="00687F0D">
        <w:rPr>
          <w:i/>
          <w:iCs/>
          <w:color w:val="auto"/>
          <w:sz w:val="20"/>
          <w:szCs w:val="20"/>
        </w:rPr>
        <w:t>This Agreement is executed in two counterparts, one counterpart for each Contracting Party.</w:t>
      </w:r>
    </w:p>
    <w:p w14:paraId="0B82D1CC" w14:textId="77777777" w:rsidR="00614BD0" w:rsidRPr="008D506F" w:rsidRDefault="00614BD0" w:rsidP="000726AE">
      <w:pPr>
        <w:pStyle w:val="Default"/>
        <w:rPr>
          <w:color w:val="auto"/>
        </w:rPr>
      </w:pPr>
    </w:p>
    <w:p w14:paraId="34B73330" w14:textId="77777777" w:rsidR="00614BD0" w:rsidRPr="008D506F" w:rsidRDefault="00614BD0" w:rsidP="000726AE">
      <w:pPr>
        <w:pStyle w:val="Default"/>
        <w:rPr>
          <w:color w:val="auto"/>
        </w:rPr>
      </w:pPr>
    </w:p>
    <w:p w14:paraId="73337520" w14:textId="7DD18A6A" w:rsidR="002E6164" w:rsidRPr="00177786" w:rsidRDefault="002E6164" w:rsidP="007A7C1C">
      <w:pPr>
        <w:pStyle w:val="CM4"/>
        <w:jc w:val="both"/>
        <w:rPr>
          <w:sz w:val="20"/>
          <w:szCs w:val="20"/>
        </w:rPr>
      </w:pPr>
      <w:r w:rsidRPr="00177786">
        <w:rPr>
          <w:sz w:val="20"/>
        </w:rPr>
        <w:t>Dátum</w:t>
      </w:r>
      <w:r w:rsidR="00193830" w:rsidRPr="00177786">
        <w:rPr>
          <w:sz w:val="20"/>
        </w:rPr>
        <w:t>/</w:t>
      </w:r>
      <w:r w:rsidR="00193830" w:rsidRPr="008D506F">
        <w:rPr>
          <w:i/>
          <w:iCs/>
          <w:sz w:val="20"/>
        </w:rPr>
        <w:t>Date</w:t>
      </w:r>
      <w:r w:rsidRPr="00177786">
        <w:rPr>
          <w:sz w:val="20"/>
        </w:rPr>
        <w:t xml:space="preserve">:                                     </w:t>
      </w:r>
      <w:r w:rsidR="000E43E5">
        <w:rPr>
          <w:sz w:val="20"/>
        </w:rPr>
        <w:t xml:space="preserve">  </w:t>
      </w:r>
      <w:r w:rsidRPr="00177786">
        <w:rPr>
          <w:sz w:val="20"/>
        </w:rPr>
        <w:t>Dátum</w:t>
      </w:r>
      <w:r w:rsidR="00193830" w:rsidRPr="00177786">
        <w:rPr>
          <w:sz w:val="20"/>
        </w:rPr>
        <w:t>/</w:t>
      </w:r>
      <w:r w:rsidR="00193830" w:rsidRPr="008D506F">
        <w:rPr>
          <w:i/>
          <w:iCs/>
          <w:sz w:val="20"/>
        </w:rPr>
        <w:t>Date</w:t>
      </w:r>
      <w:r w:rsidRPr="00177786">
        <w:rPr>
          <w:sz w:val="20"/>
        </w:rPr>
        <w:t xml:space="preserve">: </w:t>
      </w:r>
      <w:sdt>
        <w:sdtPr>
          <w:rPr>
            <w:sz w:val="20"/>
            <w:highlight w:val="lightGray"/>
          </w:rPr>
          <w:id w:val="-1672634538"/>
          <w:placeholder>
            <w:docPart w:val="3B0E57DFA20F439584985A61070ED0F9"/>
          </w:placeholder>
        </w:sdtPr>
        <w:sdtContent>
          <w:r w:rsidR="003A5B8C" w:rsidRPr="003A5B8C">
            <w:rPr>
              <w:sz w:val="20"/>
              <w:highlight w:val="lightGray"/>
            </w:rPr>
            <w:t xml:space="preserve">     </w:t>
          </w:r>
        </w:sdtContent>
      </w:sdt>
    </w:p>
    <w:p w14:paraId="3044F001" w14:textId="39255615" w:rsidR="007A7C1C" w:rsidRPr="008D506F" w:rsidRDefault="007A7C1C" w:rsidP="007A7C1C">
      <w:pPr>
        <w:pStyle w:val="Default"/>
        <w:rPr>
          <w:color w:val="auto"/>
          <w:sz w:val="20"/>
          <w:szCs w:val="20"/>
        </w:rPr>
      </w:pPr>
    </w:p>
    <w:p w14:paraId="6E7540E8" w14:textId="77777777" w:rsidR="007A7C1C" w:rsidRPr="008D506F" w:rsidRDefault="007A7C1C" w:rsidP="007A7C1C">
      <w:pPr>
        <w:pStyle w:val="Default"/>
        <w:rPr>
          <w:color w:val="auto"/>
          <w:sz w:val="20"/>
          <w:szCs w:val="20"/>
        </w:rPr>
      </w:pPr>
    </w:p>
    <w:p w14:paraId="4CDF5798" w14:textId="77777777" w:rsidR="007A7C1C" w:rsidRDefault="007A7C1C" w:rsidP="007A7C1C">
      <w:pPr>
        <w:pStyle w:val="Default"/>
        <w:rPr>
          <w:color w:val="auto"/>
          <w:sz w:val="20"/>
          <w:szCs w:val="20"/>
        </w:rPr>
      </w:pPr>
    </w:p>
    <w:p w14:paraId="100DE478" w14:textId="77777777" w:rsidR="00A54A53" w:rsidRDefault="00A54A53" w:rsidP="007A7C1C">
      <w:pPr>
        <w:pStyle w:val="Default"/>
        <w:rPr>
          <w:color w:val="auto"/>
          <w:sz w:val="20"/>
          <w:szCs w:val="20"/>
        </w:rPr>
      </w:pPr>
    </w:p>
    <w:p w14:paraId="51D3D369" w14:textId="77777777" w:rsidR="00A54A53" w:rsidRPr="008D506F" w:rsidRDefault="00A54A53" w:rsidP="007A7C1C">
      <w:pPr>
        <w:pStyle w:val="Default"/>
        <w:rPr>
          <w:color w:val="auto"/>
          <w:sz w:val="20"/>
          <w:szCs w:val="20"/>
        </w:rPr>
      </w:pPr>
    </w:p>
    <w:p w14:paraId="467A5B79" w14:textId="178C1B68" w:rsidR="007A7C1C" w:rsidRPr="00177786" w:rsidRDefault="00D62AF1" w:rsidP="007A7C1C">
      <w:pPr>
        <w:pStyle w:val="Default"/>
        <w:rPr>
          <w:color w:val="auto"/>
          <w:sz w:val="20"/>
          <w:szCs w:val="20"/>
        </w:rPr>
      </w:pPr>
      <w:r>
        <w:rPr>
          <w:color w:val="auto"/>
          <w:sz w:val="20"/>
        </w:rPr>
        <w:t xml:space="preserve">Ing. </w:t>
      </w:r>
      <w:r w:rsidR="007A7C1C" w:rsidRPr="00177786">
        <w:rPr>
          <w:color w:val="auto"/>
          <w:sz w:val="20"/>
        </w:rPr>
        <w:t>Martin Hollý</w:t>
      </w:r>
      <w:r>
        <w:rPr>
          <w:color w:val="auto"/>
          <w:sz w:val="20"/>
        </w:rPr>
        <w:tab/>
      </w:r>
      <w:r>
        <w:rPr>
          <w:color w:val="auto"/>
          <w:sz w:val="20"/>
        </w:rPr>
        <w:tab/>
      </w:r>
      <w:r>
        <w:rPr>
          <w:color w:val="auto"/>
          <w:sz w:val="20"/>
        </w:rPr>
        <w:tab/>
      </w:r>
      <w:r w:rsidR="000E43E5">
        <w:rPr>
          <w:color w:val="auto"/>
          <w:sz w:val="20"/>
        </w:rPr>
        <w:tab/>
      </w:r>
      <w:r w:rsidR="000E43E5">
        <w:rPr>
          <w:color w:val="auto"/>
          <w:sz w:val="20"/>
        </w:rPr>
        <w:tab/>
      </w:r>
      <w:sdt>
        <w:sdtPr>
          <w:rPr>
            <w:color w:val="auto"/>
            <w:sz w:val="20"/>
            <w:szCs w:val="20"/>
            <w:highlight w:val="darkGray"/>
          </w:rPr>
          <w:id w:val="-1947917419"/>
          <w:placeholder>
            <w:docPart w:val="DefaultPlaceholder_-1854013440"/>
          </w:placeholder>
        </w:sdtPr>
        <w:sdtContent>
          <w:r w:rsidR="00CF5202" w:rsidRPr="00CF5202">
            <w:rPr>
              <w:color w:val="auto"/>
              <w:sz w:val="20"/>
              <w:szCs w:val="20"/>
              <w:highlight w:val="darkGray"/>
            </w:rPr>
            <w:t xml:space="preserve">    </w:t>
          </w:r>
        </w:sdtContent>
      </w:sdt>
    </w:p>
    <w:p w14:paraId="1B5C4C92" w14:textId="35E4D527" w:rsidR="00A54A53" w:rsidRDefault="007A7C1C" w:rsidP="007A7C1C">
      <w:pPr>
        <w:pStyle w:val="Default"/>
        <w:rPr>
          <w:color w:val="auto"/>
          <w:sz w:val="20"/>
        </w:rPr>
      </w:pPr>
      <w:r w:rsidRPr="00177786">
        <w:rPr>
          <w:color w:val="auto"/>
          <w:sz w:val="20"/>
        </w:rPr>
        <w:t>G</w:t>
      </w:r>
      <w:r w:rsidR="00CC1A60">
        <w:rPr>
          <w:color w:val="auto"/>
          <w:sz w:val="20"/>
        </w:rPr>
        <w:t>enerálny riaditeľ /</w:t>
      </w:r>
      <w:r w:rsidR="000E43E5">
        <w:rPr>
          <w:color w:val="auto"/>
          <w:sz w:val="20"/>
        </w:rPr>
        <w:t xml:space="preserve"> </w:t>
      </w:r>
      <w:r w:rsidR="000E43E5">
        <w:rPr>
          <w:color w:val="auto"/>
          <w:sz w:val="20"/>
        </w:rPr>
        <w:tab/>
      </w:r>
      <w:r w:rsidR="000E43E5">
        <w:rPr>
          <w:color w:val="auto"/>
          <w:sz w:val="20"/>
        </w:rPr>
        <w:tab/>
      </w:r>
      <w:r w:rsidR="000E43E5">
        <w:rPr>
          <w:color w:val="auto"/>
          <w:sz w:val="20"/>
        </w:rPr>
        <w:tab/>
      </w:r>
      <w:r w:rsidR="000E43E5">
        <w:rPr>
          <w:color w:val="auto"/>
          <w:sz w:val="20"/>
        </w:rPr>
        <w:tab/>
      </w:r>
      <w:r w:rsidR="000E43E5">
        <w:rPr>
          <w:color w:val="auto"/>
          <w:sz w:val="20"/>
        </w:rPr>
        <w:tab/>
      </w:r>
      <w:sdt>
        <w:sdtPr>
          <w:rPr>
            <w:color w:val="auto"/>
            <w:sz w:val="20"/>
          </w:rPr>
          <w:id w:val="1676305993"/>
          <w:placeholder>
            <w:docPart w:val="DefaultPlaceholder_-1854013440"/>
          </w:placeholder>
        </w:sdtPr>
        <w:sdtContent>
          <w:proofErr w:type="spellStart"/>
          <w:r w:rsidR="00142C3B">
            <w:rPr>
              <w:color w:val="auto"/>
              <w:sz w:val="20"/>
            </w:rPr>
            <w:t>xxxxxxxx</w:t>
          </w:r>
          <w:proofErr w:type="spellEnd"/>
        </w:sdtContent>
      </w:sdt>
    </w:p>
    <w:p w14:paraId="686B408A" w14:textId="1FC31DD6" w:rsidR="007A7C1C" w:rsidRPr="00177786" w:rsidRDefault="00DD0D2B" w:rsidP="007A7C1C">
      <w:pPr>
        <w:pStyle w:val="Default"/>
        <w:rPr>
          <w:color w:val="auto"/>
          <w:sz w:val="20"/>
          <w:szCs w:val="20"/>
        </w:rPr>
      </w:pPr>
      <w:r w:rsidRPr="00177786">
        <w:rPr>
          <w:i/>
          <w:iCs/>
          <w:color w:val="auto"/>
          <w:sz w:val="20"/>
        </w:rPr>
        <w:t>CEO</w:t>
      </w:r>
    </w:p>
    <w:p w14:paraId="3E7889FF" w14:textId="77777777" w:rsidR="007A7C1C" w:rsidRPr="008D506F" w:rsidRDefault="007A7C1C" w:rsidP="007A7C1C">
      <w:pPr>
        <w:pStyle w:val="Default"/>
        <w:rPr>
          <w:color w:val="auto"/>
          <w:sz w:val="20"/>
          <w:szCs w:val="20"/>
        </w:rPr>
      </w:pPr>
    </w:p>
    <w:p w14:paraId="19E9707E" w14:textId="77777777" w:rsidR="007A7C1C" w:rsidRPr="008D506F" w:rsidRDefault="007A7C1C" w:rsidP="007A7C1C">
      <w:pPr>
        <w:pStyle w:val="Default"/>
        <w:rPr>
          <w:color w:val="auto"/>
          <w:sz w:val="20"/>
          <w:szCs w:val="20"/>
        </w:rPr>
      </w:pPr>
    </w:p>
    <w:p w14:paraId="3DB74C7E" w14:textId="77777777" w:rsidR="007A7C1C" w:rsidRDefault="007A7C1C" w:rsidP="007A7C1C">
      <w:pPr>
        <w:pStyle w:val="Default"/>
        <w:rPr>
          <w:color w:val="auto"/>
          <w:sz w:val="20"/>
          <w:szCs w:val="20"/>
        </w:rPr>
      </w:pPr>
    </w:p>
    <w:p w14:paraId="185809BD" w14:textId="77777777" w:rsidR="00A54A53" w:rsidRPr="008D506F" w:rsidRDefault="00A54A53" w:rsidP="007A7C1C">
      <w:pPr>
        <w:pStyle w:val="Default"/>
        <w:rPr>
          <w:color w:val="auto"/>
          <w:sz w:val="20"/>
          <w:szCs w:val="20"/>
        </w:rPr>
      </w:pPr>
    </w:p>
    <w:p w14:paraId="54C5DA78" w14:textId="77777777" w:rsidR="007A7C1C" w:rsidRPr="008D506F" w:rsidRDefault="007A7C1C" w:rsidP="007A7C1C">
      <w:pPr>
        <w:pStyle w:val="Default"/>
        <w:rPr>
          <w:color w:val="auto"/>
          <w:sz w:val="20"/>
          <w:szCs w:val="20"/>
        </w:rPr>
      </w:pPr>
    </w:p>
    <w:p w14:paraId="292FB3FD" w14:textId="5D398669" w:rsidR="007A7C1C" w:rsidRPr="00177786" w:rsidRDefault="00D62AF1" w:rsidP="007A7C1C">
      <w:pPr>
        <w:pStyle w:val="Default"/>
        <w:rPr>
          <w:color w:val="auto"/>
          <w:sz w:val="20"/>
          <w:szCs w:val="20"/>
        </w:rPr>
      </w:pPr>
      <w:r>
        <w:rPr>
          <w:color w:val="auto"/>
          <w:sz w:val="20"/>
        </w:rPr>
        <w:t xml:space="preserve">Ing. </w:t>
      </w:r>
      <w:r w:rsidR="007A7C1C" w:rsidRPr="00177786">
        <w:rPr>
          <w:color w:val="auto"/>
          <w:sz w:val="20"/>
        </w:rPr>
        <w:t>Marek Paál</w:t>
      </w:r>
      <w:r w:rsidR="00AA5960">
        <w:rPr>
          <w:color w:val="auto"/>
          <w:sz w:val="20"/>
        </w:rPr>
        <w:tab/>
      </w:r>
      <w:r w:rsidR="00AA5960">
        <w:rPr>
          <w:color w:val="auto"/>
          <w:sz w:val="20"/>
        </w:rPr>
        <w:tab/>
      </w:r>
      <w:r w:rsidR="00AA5960">
        <w:rPr>
          <w:color w:val="auto"/>
          <w:sz w:val="20"/>
        </w:rPr>
        <w:tab/>
      </w:r>
      <w:r w:rsidR="00AA5960">
        <w:rPr>
          <w:color w:val="auto"/>
          <w:sz w:val="20"/>
        </w:rPr>
        <w:tab/>
      </w:r>
      <w:r w:rsidR="00AA5960">
        <w:rPr>
          <w:color w:val="auto"/>
          <w:sz w:val="20"/>
        </w:rPr>
        <w:tab/>
      </w:r>
      <w:r w:rsidR="00AA5960">
        <w:rPr>
          <w:color w:val="auto"/>
          <w:sz w:val="20"/>
        </w:rPr>
        <w:tab/>
      </w:r>
      <w:sdt>
        <w:sdtPr>
          <w:rPr>
            <w:color w:val="auto"/>
            <w:sz w:val="20"/>
            <w:highlight w:val="lightGray"/>
          </w:rPr>
          <w:id w:val="1464081639"/>
          <w:placeholder>
            <w:docPart w:val="DefaultPlaceholder_-1854013440"/>
          </w:placeholder>
        </w:sdtPr>
        <w:sdtContent>
          <w:r w:rsidR="002B5D7A" w:rsidRPr="003A5B8C">
            <w:rPr>
              <w:color w:val="auto"/>
              <w:sz w:val="20"/>
              <w:highlight w:val="lightGray"/>
            </w:rPr>
            <w:t xml:space="preserve">     </w:t>
          </w:r>
        </w:sdtContent>
      </w:sdt>
    </w:p>
    <w:p w14:paraId="3AA27083" w14:textId="26209EE4" w:rsidR="002E4657" w:rsidRDefault="007A7C1C" w:rsidP="00F52A90">
      <w:pPr>
        <w:pStyle w:val="Default"/>
        <w:rPr>
          <w:color w:val="auto"/>
          <w:sz w:val="20"/>
        </w:rPr>
      </w:pPr>
      <w:r w:rsidRPr="00177786">
        <w:rPr>
          <w:color w:val="auto"/>
          <w:sz w:val="20"/>
        </w:rPr>
        <w:t>Riaditeľ odboru distribučných služieb</w:t>
      </w:r>
      <w:r w:rsidR="00F45F33" w:rsidRPr="00177786">
        <w:rPr>
          <w:color w:val="auto"/>
          <w:sz w:val="20"/>
        </w:rPr>
        <w:t>/</w:t>
      </w:r>
      <w:r w:rsidR="00AA5960">
        <w:rPr>
          <w:color w:val="auto"/>
          <w:sz w:val="20"/>
        </w:rPr>
        <w:t xml:space="preserve">                 </w:t>
      </w:r>
      <w:sdt>
        <w:sdtPr>
          <w:rPr>
            <w:color w:val="auto"/>
            <w:sz w:val="20"/>
            <w:highlight w:val="lightGray"/>
          </w:rPr>
          <w:id w:val="1523432381"/>
          <w:placeholder>
            <w:docPart w:val="DefaultPlaceholder_-1854013440"/>
          </w:placeholder>
        </w:sdtPr>
        <w:sdtContent>
          <w:proofErr w:type="spellStart"/>
          <w:r w:rsidR="00142C3B">
            <w:rPr>
              <w:color w:val="auto"/>
              <w:sz w:val="20"/>
              <w:highlight w:val="lightGray"/>
            </w:rPr>
            <w:t>xxxxxxxx</w:t>
          </w:r>
          <w:proofErr w:type="spellEnd"/>
          <w:r w:rsidR="002B5D7A" w:rsidRPr="003A5B8C">
            <w:rPr>
              <w:color w:val="auto"/>
              <w:sz w:val="20"/>
              <w:highlight w:val="lightGray"/>
            </w:rPr>
            <w:t xml:space="preserve"> </w:t>
          </w:r>
          <w:r w:rsidR="00DD368E" w:rsidRPr="003A5B8C">
            <w:rPr>
              <w:color w:val="auto"/>
              <w:sz w:val="20"/>
              <w:highlight w:val="lightGray"/>
            </w:rPr>
            <w:t xml:space="preserve">    </w:t>
          </w:r>
          <w:r w:rsidR="002B5D7A" w:rsidRPr="003A5B8C">
            <w:rPr>
              <w:color w:val="auto"/>
              <w:sz w:val="20"/>
              <w:highlight w:val="lightGray"/>
            </w:rPr>
            <w:t xml:space="preserve">     </w:t>
          </w:r>
        </w:sdtContent>
      </w:sdt>
    </w:p>
    <w:p w14:paraId="052F4BA9" w14:textId="3B3D52E8" w:rsidR="003F0C34" w:rsidRDefault="00F45F33" w:rsidP="00F52A90">
      <w:pPr>
        <w:pStyle w:val="Default"/>
        <w:rPr>
          <w:i/>
          <w:iCs/>
          <w:color w:val="auto"/>
          <w:sz w:val="20"/>
        </w:rPr>
      </w:pPr>
      <w:r w:rsidRPr="008D506F">
        <w:rPr>
          <w:i/>
          <w:iCs/>
          <w:color w:val="auto"/>
          <w:sz w:val="20"/>
        </w:rPr>
        <w:t>Distribution Services Department Director</w:t>
      </w:r>
    </w:p>
    <w:p w14:paraId="09352E76" w14:textId="77777777" w:rsidR="00B039B4" w:rsidRPr="00177786" w:rsidRDefault="00B039B4" w:rsidP="00F52A90">
      <w:pPr>
        <w:pStyle w:val="Default"/>
        <w:rPr>
          <w:color w:val="auto"/>
          <w:sz w:val="20"/>
          <w:szCs w:val="20"/>
        </w:rPr>
      </w:pPr>
    </w:p>
    <w:p w14:paraId="182151C6" w14:textId="273DB291" w:rsidR="002E6164" w:rsidRPr="00177786" w:rsidRDefault="002E6164" w:rsidP="00435926">
      <w:pPr>
        <w:pStyle w:val="CM4"/>
        <w:tabs>
          <w:tab w:val="left" w:pos="4536"/>
        </w:tabs>
        <w:jc w:val="both"/>
        <w:rPr>
          <w:sz w:val="20"/>
          <w:szCs w:val="20"/>
        </w:rPr>
      </w:pPr>
      <w:r w:rsidRPr="00177786">
        <w:rPr>
          <w:sz w:val="20"/>
        </w:rPr>
        <w:t>…………………………………………….</w:t>
      </w:r>
      <w:r w:rsidRPr="00177786">
        <w:rPr>
          <w:sz w:val="20"/>
        </w:rPr>
        <w:tab/>
      </w:r>
      <w:r w:rsidR="00DD368E">
        <w:rPr>
          <w:sz w:val="20"/>
        </w:rPr>
        <w:t xml:space="preserve">     </w:t>
      </w:r>
      <w:r w:rsidRPr="00177786">
        <w:rPr>
          <w:sz w:val="20"/>
        </w:rPr>
        <w:t>…………………………………………………</w:t>
      </w:r>
    </w:p>
    <w:p w14:paraId="514AEA3A" w14:textId="66D4D047" w:rsidR="002E6164" w:rsidRPr="003747A7" w:rsidRDefault="002B11AA" w:rsidP="00D54AA6">
      <w:pPr>
        <w:pStyle w:val="CM4"/>
        <w:tabs>
          <w:tab w:val="left" w:pos="4536"/>
        </w:tabs>
        <w:jc w:val="both"/>
        <w:rPr>
          <w:sz w:val="20"/>
        </w:rPr>
      </w:pPr>
      <w:r w:rsidRPr="00177786">
        <w:rPr>
          <w:sz w:val="20"/>
        </w:rPr>
        <w:t xml:space="preserve">SPP – distribúcia, a.s.                           </w:t>
      </w:r>
      <w:r w:rsidR="00DD368E">
        <w:rPr>
          <w:sz w:val="20"/>
        </w:rPr>
        <w:t xml:space="preserve">    </w:t>
      </w:r>
      <w:sdt>
        <w:sdtPr>
          <w:rPr>
            <w:sz w:val="20"/>
          </w:rPr>
          <w:id w:val="-767533833"/>
          <w:placeholder>
            <w:docPart w:val="DefaultPlaceholder_-1854013440"/>
          </w:placeholder>
        </w:sdtPr>
        <w:sdtContent>
          <w:r w:rsidR="006662E9">
            <w:rPr>
              <w:sz w:val="20"/>
            </w:rPr>
            <w:t>XXXXXXXXXXXXXXXXXXXXXXXXXXX</w:t>
          </w:r>
        </w:sdtContent>
      </w:sdt>
    </w:p>
    <w:sectPr w:rsidR="002E6164" w:rsidRPr="003747A7" w:rsidSect="0018622C">
      <w:headerReference w:type="default" r:id="rId10"/>
      <w:footerReference w:type="default" r:id="rId11"/>
      <w:pgSz w:w="12240" w:h="16340"/>
      <w:pgMar w:top="410" w:right="938" w:bottom="1560" w:left="1204"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A0DF4" w14:textId="77777777" w:rsidR="006571DD" w:rsidRDefault="006571DD" w:rsidP="009D2872">
      <w:pPr>
        <w:spacing w:after="0" w:line="240" w:lineRule="auto"/>
      </w:pPr>
      <w:r>
        <w:separator/>
      </w:r>
    </w:p>
  </w:endnote>
  <w:endnote w:type="continuationSeparator" w:id="0">
    <w:p w14:paraId="59CA26F2" w14:textId="77777777" w:rsidR="006571DD" w:rsidRDefault="006571DD" w:rsidP="009D2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74F2" w14:textId="77777777" w:rsidR="00322897" w:rsidRDefault="004F4CE4" w:rsidP="007377AE">
    <w:pPr>
      <w:pStyle w:val="Pta"/>
      <w:pBdr>
        <w:top w:val="single" w:sz="4" w:space="1" w:color="auto"/>
      </w:pBdr>
      <w:spacing w:after="0" w:line="240" w:lineRule="auto"/>
      <w:jc w:val="center"/>
    </w:pPr>
    <w:fldSimple w:instr=" FILENAME   \* MERGEFORMAT ">
      <w:r>
        <w:rPr>
          <w:noProof/>
        </w:rPr>
        <w:t>AIB HPA-A4-STC-HP - 20151005 - 3-6</w:t>
      </w:r>
    </w:fldSimple>
  </w:p>
  <w:p w14:paraId="3C8D1672" w14:textId="0ECBF957" w:rsidR="00322897" w:rsidRPr="00AF76B0" w:rsidRDefault="00AF76B0" w:rsidP="00A54A53">
    <w:pPr>
      <w:pStyle w:val="Pta"/>
      <w:pBdr>
        <w:top w:val="single" w:sz="4" w:space="1" w:color="auto"/>
      </w:pBdr>
      <w:jc w:val="center"/>
      <w:rPr>
        <w:sz w:val="18"/>
        <w:szCs w:val="18"/>
      </w:rPr>
    </w:pPr>
    <w:r>
      <w:rPr>
        <w:sz w:val="18"/>
      </w:rPr>
      <w:t xml:space="preserve">Strana </w:t>
    </w:r>
    <w:r w:rsidRPr="000D3E6B">
      <w:rPr>
        <w:sz w:val="18"/>
      </w:rPr>
      <w:fldChar w:fldCharType="begin"/>
    </w:r>
    <w:r w:rsidRPr="000D3E6B">
      <w:rPr>
        <w:sz w:val="18"/>
      </w:rPr>
      <w:instrText xml:space="preserve"> PAGE </w:instrText>
    </w:r>
    <w:r w:rsidRPr="000D3E6B">
      <w:rPr>
        <w:sz w:val="18"/>
      </w:rPr>
      <w:fldChar w:fldCharType="separate"/>
    </w:r>
    <w:r w:rsidR="006D3632">
      <w:rPr>
        <w:noProof/>
        <w:sz w:val="18"/>
      </w:rPr>
      <w:t>1</w:t>
    </w:r>
    <w:r w:rsidRPr="000D3E6B">
      <w:rPr>
        <w:sz w:val="18"/>
      </w:rPr>
      <w:fldChar w:fldCharType="end"/>
    </w:r>
    <w:r>
      <w:rPr>
        <w:sz w:val="18"/>
      </w:rPr>
      <w:t xml:space="preserve"> z </w:t>
    </w:r>
    <w:r w:rsidRPr="000D3E6B">
      <w:rPr>
        <w:rStyle w:val="slostrany"/>
        <w:sz w:val="18"/>
      </w:rPr>
      <w:fldChar w:fldCharType="begin"/>
    </w:r>
    <w:r w:rsidRPr="000D3E6B">
      <w:rPr>
        <w:rStyle w:val="slostrany"/>
        <w:sz w:val="18"/>
      </w:rPr>
      <w:instrText xml:space="preserve"> NUMPAGES </w:instrText>
    </w:r>
    <w:r w:rsidRPr="000D3E6B">
      <w:rPr>
        <w:rStyle w:val="slostrany"/>
        <w:sz w:val="18"/>
      </w:rPr>
      <w:fldChar w:fldCharType="separate"/>
    </w:r>
    <w:r w:rsidR="006D3632">
      <w:rPr>
        <w:rStyle w:val="slostrany"/>
        <w:noProof/>
        <w:sz w:val="18"/>
      </w:rPr>
      <w:t>15</w:t>
    </w:r>
    <w:r w:rsidRPr="000D3E6B">
      <w:rPr>
        <w:rStyle w:val="slostrany"/>
        <w:sz w:val="18"/>
      </w:rPr>
      <w:fldChar w:fldCharType="end"/>
    </w:r>
    <w:r>
      <w:rPr>
        <w:rStyle w:val="slostrany"/>
        <w:sz w:val="18"/>
      </w:rPr>
      <w:tab/>
    </w:r>
    <w:r>
      <w:rPr>
        <w:sz w:val="18"/>
      </w:rPr>
      <w:t>© Združenie vydávajúcich orgánov, 2015</w:t>
    </w:r>
    <w:r>
      <w:rPr>
        <w:sz w:val="18"/>
      </w:rPr>
      <w:tab/>
    </w:r>
    <w:r>
      <w:rPr>
        <w:sz w:val="18"/>
      </w:rPr>
      <w:fldChar w:fldCharType="begin"/>
    </w:r>
    <w:r>
      <w:rPr>
        <w:sz w:val="18"/>
      </w:rPr>
      <w:instrText xml:space="preserve"> DATE \@ "MMMM d, yyyy" </w:instrText>
    </w:r>
    <w:r>
      <w:rPr>
        <w:sz w:val="18"/>
      </w:rPr>
      <w:fldChar w:fldCharType="separate"/>
    </w:r>
    <w:r w:rsidR="006B7452">
      <w:rPr>
        <w:noProof/>
        <w:sz w:val="18"/>
      </w:rPr>
      <w:t>jún 16, 2026</w:t>
    </w:r>
    <w:r>
      <w:rPr>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37CED" w14:textId="77777777" w:rsidR="006571DD" w:rsidRDefault="006571DD" w:rsidP="009D2872">
      <w:pPr>
        <w:spacing w:after="0" w:line="240" w:lineRule="auto"/>
      </w:pPr>
      <w:r>
        <w:separator/>
      </w:r>
    </w:p>
  </w:footnote>
  <w:footnote w:type="continuationSeparator" w:id="0">
    <w:p w14:paraId="371BBF14" w14:textId="77777777" w:rsidR="006571DD" w:rsidRDefault="006571DD" w:rsidP="009D2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8A23" w14:textId="757F1B02" w:rsidR="009D2872" w:rsidRPr="005C741D" w:rsidRDefault="009D2872" w:rsidP="00B13265">
    <w:pPr>
      <w:pStyle w:val="CM9"/>
      <w:pageBreakBefore/>
      <w:pBdr>
        <w:bottom w:val="single" w:sz="4" w:space="1" w:color="auto"/>
      </w:pBdr>
      <w:spacing w:after="480"/>
      <w:jc w:val="center"/>
      <w:rPr>
        <w:color w:val="000000"/>
        <w:sz w:val="36"/>
        <w:szCs w:val="36"/>
        <w:lang w:val="en-GB"/>
      </w:rPr>
    </w:pPr>
    <w:r>
      <w:rPr>
        <w:b/>
        <w:color w:val="000000"/>
        <w:sz w:val="36"/>
      </w:rPr>
      <w:t>VŠEOBECN</w:t>
    </w:r>
    <w:r w:rsidR="007739E9">
      <w:rPr>
        <w:b/>
        <w:color w:val="000000"/>
        <w:sz w:val="36"/>
      </w:rPr>
      <w:t>É</w:t>
    </w:r>
    <w:r>
      <w:rPr>
        <w:b/>
        <w:color w:val="000000"/>
        <w:sz w:val="36"/>
      </w:rPr>
      <w:t xml:space="preserve"> ZMLUVN</w:t>
    </w:r>
    <w:r w:rsidR="007739E9">
      <w:rPr>
        <w:b/>
        <w:color w:val="000000"/>
        <w:sz w:val="36"/>
      </w:rPr>
      <w:t>É</w:t>
    </w:r>
    <w:r>
      <w:rPr>
        <w:b/>
        <w:color w:val="000000"/>
        <w:sz w:val="36"/>
      </w:rPr>
      <w:t xml:space="preserve"> PODMIEN</w:t>
    </w:r>
    <w:r w:rsidR="007739E9">
      <w:rPr>
        <w:b/>
        <w:color w:val="000000"/>
        <w:sz w:val="36"/>
      </w:rPr>
      <w:t>KY</w:t>
    </w:r>
    <w:r w:rsidR="00161346">
      <w:rPr>
        <w:b/>
        <w:color w:val="000000"/>
        <w:sz w:val="36"/>
      </w:rPr>
      <w:br/>
    </w:r>
    <w:r w:rsidR="00161346" w:rsidRPr="005C741D">
      <w:rPr>
        <w:b/>
        <w:bCs/>
        <w:i/>
        <w:iCs/>
        <w:color w:val="000000"/>
        <w:sz w:val="36"/>
        <w:szCs w:val="36"/>
        <w:lang w:val="en-GB"/>
      </w:rPr>
      <w:t>STANDARD 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B3DBE"/>
    <w:multiLevelType w:val="multilevel"/>
    <w:tmpl w:val="7834C398"/>
    <w:lvl w:ilvl="0">
      <w:start w:val="11"/>
      <w:numFmt w:val="decimal"/>
      <w:lvlText w:val="%1"/>
      <w:lvlJc w:val="left"/>
      <w:pPr>
        <w:tabs>
          <w:tab w:val="num" w:pos="1068"/>
        </w:tabs>
        <w:ind w:left="708"/>
      </w:pPr>
      <w:rPr>
        <w:rFonts w:cs="Times New Roman" w:hint="default"/>
      </w:rPr>
    </w:lvl>
    <w:lvl w:ilvl="1">
      <w:start w:val="1"/>
      <w:numFmt w:val="decimal"/>
      <w:lvlText w:val="%1.%2"/>
      <w:lvlJc w:val="left"/>
      <w:pPr>
        <w:tabs>
          <w:tab w:val="num" w:pos="1428"/>
        </w:tabs>
        <w:ind w:left="708"/>
      </w:pPr>
      <w:rPr>
        <w:rFonts w:cs="Times New Roman" w:hint="default"/>
      </w:rPr>
    </w:lvl>
    <w:lvl w:ilvl="2">
      <w:start w:val="1"/>
      <w:numFmt w:val="decimal"/>
      <w:lvlText w:val="%1.%2.%3"/>
      <w:lvlJc w:val="left"/>
      <w:pPr>
        <w:tabs>
          <w:tab w:val="num" w:pos="1428"/>
        </w:tabs>
        <w:ind w:left="708"/>
      </w:pPr>
      <w:rPr>
        <w:rFonts w:cs="Times New Roman" w:hint="default"/>
      </w:rPr>
    </w:lvl>
    <w:lvl w:ilvl="3">
      <w:start w:val="1"/>
      <w:numFmt w:val="decimal"/>
      <w:lvlText w:val="%1.%2.%3.%4"/>
      <w:lvlJc w:val="left"/>
      <w:pPr>
        <w:tabs>
          <w:tab w:val="num" w:pos="708"/>
        </w:tabs>
        <w:ind w:left="708"/>
      </w:pPr>
      <w:rPr>
        <w:rFonts w:cs="Times New Roman" w:hint="default"/>
      </w:rPr>
    </w:lvl>
    <w:lvl w:ilvl="4">
      <w:start w:val="1"/>
      <w:numFmt w:val="lowerRoman"/>
      <w:lvlText w:val="%5"/>
      <w:lvlJc w:val="left"/>
      <w:pPr>
        <w:tabs>
          <w:tab w:val="num" w:pos="708"/>
        </w:tabs>
        <w:ind w:left="708"/>
      </w:pPr>
      <w:rPr>
        <w:rFonts w:cs="Times New Roman" w:hint="default"/>
      </w:rPr>
    </w:lvl>
    <w:lvl w:ilvl="5">
      <w:start w:val="1"/>
      <w:numFmt w:val="lowerLetter"/>
      <w:lvlText w:val="(%6)"/>
      <w:lvlJc w:val="left"/>
      <w:pPr>
        <w:tabs>
          <w:tab w:val="num" w:pos="708"/>
        </w:tabs>
        <w:ind w:left="708"/>
      </w:pPr>
      <w:rPr>
        <w:rFonts w:cs="Times New Roman" w:hint="default"/>
      </w:rPr>
    </w:lvl>
    <w:lvl w:ilvl="6">
      <w:start w:val="1"/>
      <w:numFmt w:val="lowerRoman"/>
      <w:lvlText w:val="%7)"/>
      <w:lvlJc w:val="left"/>
      <w:pPr>
        <w:tabs>
          <w:tab w:val="num" w:pos="708"/>
        </w:tabs>
        <w:ind w:left="708"/>
      </w:pPr>
      <w:rPr>
        <w:rFonts w:cs="Times New Roman" w:hint="default"/>
      </w:rPr>
    </w:lvl>
    <w:lvl w:ilvl="7">
      <w:start w:val="1"/>
      <w:numFmt w:val="lowerLetter"/>
      <w:lvlText w:val="%8)"/>
      <w:lvlJc w:val="left"/>
      <w:pPr>
        <w:tabs>
          <w:tab w:val="num" w:pos="708"/>
        </w:tabs>
        <w:ind w:left="708"/>
      </w:pPr>
      <w:rPr>
        <w:rFonts w:cs="Times New Roman" w:hint="default"/>
      </w:rPr>
    </w:lvl>
    <w:lvl w:ilvl="8">
      <w:numFmt w:val="none"/>
      <w:lvlText w:val=""/>
      <w:lvlJc w:val="left"/>
      <w:pPr>
        <w:tabs>
          <w:tab w:val="num" w:pos="708"/>
        </w:tabs>
        <w:ind w:left="708"/>
      </w:pPr>
      <w:rPr>
        <w:rFonts w:cs="Times New Roman" w:hint="default"/>
      </w:rPr>
    </w:lvl>
  </w:abstractNum>
  <w:abstractNum w:abstractNumId="1" w15:restartNumberingAfterBreak="0">
    <w:nsid w:val="26D27BA5"/>
    <w:multiLevelType w:val="hybridMultilevel"/>
    <w:tmpl w:val="0B566108"/>
    <w:lvl w:ilvl="0" w:tplc="E612C438">
      <w:start w:val="1"/>
      <w:numFmt w:val="decimal"/>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7AA6B21"/>
    <w:multiLevelType w:val="hybridMultilevel"/>
    <w:tmpl w:val="61B4CAC2"/>
    <w:lvl w:ilvl="0" w:tplc="384E644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3B97ADA"/>
    <w:multiLevelType w:val="hybridMultilevel"/>
    <w:tmpl w:val="3EF46FAA"/>
    <w:lvl w:ilvl="0" w:tplc="0809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E3E320B"/>
    <w:multiLevelType w:val="hybridMultilevel"/>
    <w:tmpl w:val="A1D014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1F003CA"/>
    <w:multiLevelType w:val="multilevel"/>
    <w:tmpl w:val="EB5271D0"/>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lowerRoman"/>
      <w:lvlText w:val="%5"/>
      <w:lvlJc w:val="left"/>
      <w:pPr>
        <w:tabs>
          <w:tab w:val="num" w:pos="0"/>
        </w:tabs>
      </w:pPr>
      <w:rPr>
        <w:rFonts w:cs="Times New Roman" w:hint="default"/>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none"/>
      <w:lvlText w:val=""/>
      <w:lvlJc w:val="left"/>
      <w:pPr>
        <w:tabs>
          <w:tab w:val="num" w:pos="0"/>
        </w:tabs>
      </w:pPr>
      <w:rPr>
        <w:rFonts w:cs="Times New Roman" w:hint="default"/>
      </w:rPr>
    </w:lvl>
  </w:abstractNum>
  <w:abstractNum w:abstractNumId="6" w15:restartNumberingAfterBreak="0">
    <w:nsid w:val="66EA60AF"/>
    <w:multiLevelType w:val="hybridMultilevel"/>
    <w:tmpl w:val="24E025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DE74E9F"/>
    <w:multiLevelType w:val="hybridMultilevel"/>
    <w:tmpl w:val="C1765B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52369842">
    <w:abstractNumId w:val="0"/>
  </w:num>
  <w:num w:numId="2" w16cid:durableId="1543782092">
    <w:abstractNumId w:val="5"/>
  </w:num>
  <w:num w:numId="3" w16cid:durableId="887910855">
    <w:abstractNumId w:val="7"/>
  </w:num>
  <w:num w:numId="4" w16cid:durableId="808981582">
    <w:abstractNumId w:val="3"/>
  </w:num>
  <w:num w:numId="5" w16cid:durableId="84767788">
    <w:abstractNumId w:val="4"/>
  </w:num>
  <w:num w:numId="6" w16cid:durableId="976108998">
    <w:abstractNumId w:val="6"/>
  </w:num>
  <w:num w:numId="7" w16cid:durableId="1149860452">
    <w:abstractNumId w:val="1"/>
  </w:num>
  <w:num w:numId="8" w16cid:durableId="1120684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SpellingErrors/>
  <w:proofState w:spelling="clean" w:grammar="clean"/>
  <w:documentProtection w:edit="forms" w:enforcement="1" w:cryptProviderType="rsaAES" w:cryptAlgorithmClass="hash" w:cryptAlgorithmType="typeAny" w:cryptAlgorithmSid="14" w:cryptSpinCount="100000" w:hash="PIdPx18Rz44KfX4hMuhVOJvNYeiUkkJMMdmJDTfJDttqZJ0l740VdUE0mpDK0tpxU74LfRhozhS665MNnnHbRA==" w:salt="rVs1eUOt7rr6Kb7Y4BuaHQ=="/>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A1"/>
    <w:rsid w:val="00001D75"/>
    <w:rsid w:val="00002357"/>
    <w:rsid w:val="00010A92"/>
    <w:rsid w:val="00015E82"/>
    <w:rsid w:val="00021937"/>
    <w:rsid w:val="0002201B"/>
    <w:rsid w:val="00026DBC"/>
    <w:rsid w:val="00027CE3"/>
    <w:rsid w:val="00031673"/>
    <w:rsid w:val="00032652"/>
    <w:rsid w:val="00033794"/>
    <w:rsid w:val="00034B73"/>
    <w:rsid w:val="00034FCE"/>
    <w:rsid w:val="00037712"/>
    <w:rsid w:val="00043332"/>
    <w:rsid w:val="00045626"/>
    <w:rsid w:val="00057D0F"/>
    <w:rsid w:val="0006163F"/>
    <w:rsid w:val="00062FF8"/>
    <w:rsid w:val="000726AE"/>
    <w:rsid w:val="00074141"/>
    <w:rsid w:val="00074DE5"/>
    <w:rsid w:val="000758CE"/>
    <w:rsid w:val="00075B07"/>
    <w:rsid w:val="0008690C"/>
    <w:rsid w:val="00090A74"/>
    <w:rsid w:val="00091AE7"/>
    <w:rsid w:val="00092017"/>
    <w:rsid w:val="00093F3F"/>
    <w:rsid w:val="000947FD"/>
    <w:rsid w:val="00097903"/>
    <w:rsid w:val="000A083E"/>
    <w:rsid w:val="000A711D"/>
    <w:rsid w:val="000A7A06"/>
    <w:rsid w:val="000B21BC"/>
    <w:rsid w:val="000B55BF"/>
    <w:rsid w:val="000E140A"/>
    <w:rsid w:val="000E3C35"/>
    <w:rsid w:val="000E43E5"/>
    <w:rsid w:val="000E6430"/>
    <w:rsid w:val="000F4335"/>
    <w:rsid w:val="000F5F05"/>
    <w:rsid w:val="001059FE"/>
    <w:rsid w:val="001161E6"/>
    <w:rsid w:val="00121A34"/>
    <w:rsid w:val="00127E96"/>
    <w:rsid w:val="0013198C"/>
    <w:rsid w:val="0013351A"/>
    <w:rsid w:val="001401DC"/>
    <w:rsid w:val="00142C3B"/>
    <w:rsid w:val="00144E0B"/>
    <w:rsid w:val="001475CF"/>
    <w:rsid w:val="00154A1B"/>
    <w:rsid w:val="00161346"/>
    <w:rsid w:val="00161CDC"/>
    <w:rsid w:val="00167A52"/>
    <w:rsid w:val="001740BC"/>
    <w:rsid w:val="00177786"/>
    <w:rsid w:val="00177C93"/>
    <w:rsid w:val="00185C15"/>
    <w:rsid w:val="0018622C"/>
    <w:rsid w:val="00193830"/>
    <w:rsid w:val="00195B0B"/>
    <w:rsid w:val="00196516"/>
    <w:rsid w:val="001A079C"/>
    <w:rsid w:val="001A6A60"/>
    <w:rsid w:val="001B1C42"/>
    <w:rsid w:val="001B460E"/>
    <w:rsid w:val="001C0DF2"/>
    <w:rsid w:val="001C201E"/>
    <w:rsid w:val="001C5DFF"/>
    <w:rsid w:val="001C6007"/>
    <w:rsid w:val="001C7FE3"/>
    <w:rsid w:val="001D4947"/>
    <w:rsid w:val="001D5B89"/>
    <w:rsid w:val="001D724D"/>
    <w:rsid w:val="001D7F32"/>
    <w:rsid w:val="001F000A"/>
    <w:rsid w:val="001F22C7"/>
    <w:rsid w:val="001F7AF0"/>
    <w:rsid w:val="00200B84"/>
    <w:rsid w:val="00201A9A"/>
    <w:rsid w:val="00202098"/>
    <w:rsid w:val="00204FC9"/>
    <w:rsid w:val="00211D3D"/>
    <w:rsid w:val="00212699"/>
    <w:rsid w:val="0022380F"/>
    <w:rsid w:val="00226385"/>
    <w:rsid w:val="00234CC8"/>
    <w:rsid w:val="002353B1"/>
    <w:rsid w:val="00237589"/>
    <w:rsid w:val="00237E71"/>
    <w:rsid w:val="00253204"/>
    <w:rsid w:val="00254F3D"/>
    <w:rsid w:val="00274385"/>
    <w:rsid w:val="002743B0"/>
    <w:rsid w:val="0027529C"/>
    <w:rsid w:val="00275418"/>
    <w:rsid w:val="00282AD9"/>
    <w:rsid w:val="0029027D"/>
    <w:rsid w:val="002974A4"/>
    <w:rsid w:val="00297896"/>
    <w:rsid w:val="002B11AA"/>
    <w:rsid w:val="002B5D7A"/>
    <w:rsid w:val="002C09C2"/>
    <w:rsid w:val="002D25F4"/>
    <w:rsid w:val="002D4563"/>
    <w:rsid w:val="002E1D1D"/>
    <w:rsid w:val="002E22D2"/>
    <w:rsid w:val="002E4657"/>
    <w:rsid w:val="002E6164"/>
    <w:rsid w:val="002E63F1"/>
    <w:rsid w:val="002F026C"/>
    <w:rsid w:val="002F46C9"/>
    <w:rsid w:val="002F69C6"/>
    <w:rsid w:val="003016C2"/>
    <w:rsid w:val="00310FF8"/>
    <w:rsid w:val="003201CD"/>
    <w:rsid w:val="00321EC5"/>
    <w:rsid w:val="00322897"/>
    <w:rsid w:val="0032644B"/>
    <w:rsid w:val="00332508"/>
    <w:rsid w:val="003379F0"/>
    <w:rsid w:val="00352C22"/>
    <w:rsid w:val="00354AA2"/>
    <w:rsid w:val="00355B69"/>
    <w:rsid w:val="003573F9"/>
    <w:rsid w:val="00363923"/>
    <w:rsid w:val="003747A7"/>
    <w:rsid w:val="00380753"/>
    <w:rsid w:val="00386BF4"/>
    <w:rsid w:val="00393B19"/>
    <w:rsid w:val="00393FCE"/>
    <w:rsid w:val="00397D83"/>
    <w:rsid w:val="003A15BC"/>
    <w:rsid w:val="003A49C1"/>
    <w:rsid w:val="003A5064"/>
    <w:rsid w:val="003A5B8C"/>
    <w:rsid w:val="003B1A88"/>
    <w:rsid w:val="003B1F86"/>
    <w:rsid w:val="003B2F11"/>
    <w:rsid w:val="003B31C9"/>
    <w:rsid w:val="003B6598"/>
    <w:rsid w:val="003C3770"/>
    <w:rsid w:val="003C42A1"/>
    <w:rsid w:val="003C602B"/>
    <w:rsid w:val="003C7EC9"/>
    <w:rsid w:val="003D0E4A"/>
    <w:rsid w:val="003D1059"/>
    <w:rsid w:val="003D6702"/>
    <w:rsid w:val="003E0159"/>
    <w:rsid w:val="003E2518"/>
    <w:rsid w:val="003E4E1D"/>
    <w:rsid w:val="003E5F26"/>
    <w:rsid w:val="003F0C34"/>
    <w:rsid w:val="003F4146"/>
    <w:rsid w:val="003F70C5"/>
    <w:rsid w:val="004000F8"/>
    <w:rsid w:val="004004C3"/>
    <w:rsid w:val="00400AC2"/>
    <w:rsid w:val="00401638"/>
    <w:rsid w:val="0040613E"/>
    <w:rsid w:val="004126A0"/>
    <w:rsid w:val="0041622D"/>
    <w:rsid w:val="00420B31"/>
    <w:rsid w:val="004216E5"/>
    <w:rsid w:val="00433959"/>
    <w:rsid w:val="00435926"/>
    <w:rsid w:val="00437C45"/>
    <w:rsid w:val="00442FD6"/>
    <w:rsid w:val="0044318C"/>
    <w:rsid w:val="004432FE"/>
    <w:rsid w:val="0044484A"/>
    <w:rsid w:val="004455DD"/>
    <w:rsid w:val="004465F0"/>
    <w:rsid w:val="0045226E"/>
    <w:rsid w:val="004558EC"/>
    <w:rsid w:val="00456F0B"/>
    <w:rsid w:val="004644F8"/>
    <w:rsid w:val="00467928"/>
    <w:rsid w:val="00474C43"/>
    <w:rsid w:val="004770E7"/>
    <w:rsid w:val="00492588"/>
    <w:rsid w:val="004A5C02"/>
    <w:rsid w:val="004B0006"/>
    <w:rsid w:val="004B08B9"/>
    <w:rsid w:val="004C0F32"/>
    <w:rsid w:val="004C4DC7"/>
    <w:rsid w:val="004C72CC"/>
    <w:rsid w:val="004D72D0"/>
    <w:rsid w:val="004E01ED"/>
    <w:rsid w:val="004F4CE4"/>
    <w:rsid w:val="00500025"/>
    <w:rsid w:val="005018BB"/>
    <w:rsid w:val="005036AB"/>
    <w:rsid w:val="00513AE6"/>
    <w:rsid w:val="00515891"/>
    <w:rsid w:val="00524366"/>
    <w:rsid w:val="005309A2"/>
    <w:rsid w:val="005318D2"/>
    <w:rsid w:val="0053443B"/>
    <w:rsid w:val="00535558"/>
    <w:rsid w:val="00544704"/>
    <w:rsid w:val="00547914"/>
    <w:rsid w:val="00551467"/>
    <w:rsid w:val="00551B58"/>
    <w:rsid w:val="00551B9E"/>
    <w:rsid w:val="00551F02"/>
    <w:rsid w:val="005522D8"/>
    <w:rsid w:val="0055459B"/>
    <w:rsid w:val="0055530A"/>
    <w:rsid w:val="005574A5"/>
    <w:rsid w:val="00563126"/>
    <w:rsid w:val="00563E9D"/>
    <w:rsid w:val="00566AFC"/>
    <w:rsid w:val="00567B7E"/>
    <w:rsid w:val="00567C3E"/>
    <w:rsid w:val="00575035"/>
    <w:rsid w:val="00577398"/>
    <w:rsid w:val="00581BBF"/>
    <w:rsid w:val="00583616"/>
    <w:rsid w:val="00586D02"/>
    <w:rsid w:val="00593054"/>
    <w:rsid w:val="00594A04"/>
    <w:rsid w:val="00594CE4"/>
    <w:rsid w:val="005968F9"/>
    <w:rsid w:val="005A1BA8"/>
    <w:rsid w:val="005A3DCE"/>
    <w:rsid w:val="005A7958"/>
    <w:rsid w:val="005B425F"/>
    <w:rsid w:val="005C084C"/>
    <w:rsid w:val="005C3EE2"/>
    <w:rsid w:val="005C531F"/>
    <w:rsid w:val="005C6B28"/>
    <w:rsid w:val="005C741D"/>
    <w:rsid w:val="005D427D"/>
    <w:rsid w:val="005D600D"/>
    <w:rsid w:val="005E0FD8"/>
    <w:rsid w:val="005F4742"/>
    <w:rsid w:val="005F6A91"/>
    <w:rsid w:val="00600260"/>
    <w:rsid w:val="00600722"/>
    <w:rsid w:val="00614A4C"/>
    <w:rsid w:val="00614BD0"/>
    <w:rsid w:val="00615B5D"/>
    <w:rsid w:val="006226BA"/>
    <w:rsid w:val="00622DB0"/>
    <w:rsid w:val="00636144"/>
    <w:rsid w:val="0064007A"/>
    <w:rsid w:val="00640144"/>
    <w:rsid w:val="0064708C"/>
    <w:rsid w:val="00653955"/>
    <w:rsid w:val="006563C6"/>
    <w:rsid w:val="006571DD"/>
    <w:rsid w:val="00662702"/>
    <w:rsid w:val="006654A0"/>
    <w:rsid w:val="006662E9"/>
    <w:rsid w:val="00676847"/>
    <w:rsid w:val="00677343"/>
    <w:rsid w:val="0068611E"/>
    <w:rsid w:val="0068664B"/>
    <w:rsid w:val="00687F0D"/>
    <w:rsid w:val="006949B3"/>
    <w:rsid w:val="00696D1E"/>
    <w:rsid w:val="006A2079"/>
    <w:rsid w:val="006A24C6"/>
    <w:rsid w:val="006A3B98"/>
    <w:rsid w:val="006B3E76"/>
    <w:rsid w:val="006B446F"/>
    <w:rsid w:val="006B694F"/>
    <w:rsid w:val="006B7452"/>
    <w:rsid w:val="006C5325"/>
    <w:rsid w:val="006C5A80"/>
    <w:rsid w:val="006D0647"/>
    <w:rsid w:val="006D3632"/>
    <w:rsid w:val="006D5C2B"/>
    <w:rsid w:val="006E2797"/>
    <w:rsid w:val="006F3E1A"/>
    <w:rsid w:val="006F441F"/>
    <w:rsid w:val="006F7054"/>
    <w:rsid w:val="007063F6"/>
    <w:rsid w:val="007075B9"/>
    <w:rsid w:val="007077DE"/>
    <w:rsid w:val="00712AE6"/>
    <w:rsid w:val="00713E58"/>
    <w:rsid w:val="007175EF"/>
    <w:rsid w:val="00721530"/>
    <w:rsid w:val="00736813"/>
    <w:rsid w:val="007377AE"/>
    <w:rsid w:val="007552EC"/>
    <w:rsid w:val="0075599D"/>
    <w:rsid w:val="00757EB5"/>
    <w:rsid w:val="0076562C"/>
    <w:rsid w:val="00765CD3"/>
    <w:rsid w:val="00771042"/>
    <w:rsid w:val="007739E9"/>
    <w:rsid w:val="007740EF"/>
    <w:rsid w:val="007770F0"/>
    <w:rsid w:val="00777C5E"/>
    <w:rsid w:val="00780925"/>
    <w:rsid w:val="007816DE"/>
    <w:rsid w:val="00784B1E"/>
    <w:rsid w:val="00785C48"/>
    <w:rsid w:val="007935D1"/>
    <w:rsid w:val="00794171"/>
    <w:rsid w:val="007A0228"/>
    <w:rsid w:val="007A4C0E"/>
    <w:rsid w:val="007A569A"/>
    <w:rsid w:val="007A7C1C"/>
    <w:rsid w:val="007B3C6D"/>
    <w:rsid w:val="007B5D94"/>
    <w:rsid w:val="007C0635"/>
    <w:rsid w:val="007C6632"/>
    <w:rsid w:val="007C6B62"/>
    <w:rsid w:val="007C6EBF"/>
    <w:rsid w:val="007D46E8"/>
    <w:rsid w:val="007D5D1E"/>
    <w:rsid w:val="007E2DF4"/>
    <w:rsid w:val="007E32FD"/>
    <w:rsid w:val="007E444A"/>
    <w:rsid w:val="007E5DFB"/>
    <w:rsid w:val="007E78BA"/>
    <w:rsid w:val="007F1A3F"/>
    <w:rsid w:val="007F3B78"/>
    <w:rsid w:val="007F461F"/>
    <w:rsid w:val="00800EE0"/>
    <w:rsid w:val="008045B7"/>
    <w:rsid w:val="00810168"/>
    <w:rsid w:val="00813BFD"/>
    <w:rsid w:val="00815791"/>
    <w:rsid w:val="00815C7E"/>
    <w:rsid w:val="00816B05"/>
    <w:rsid w:val="00820F13"/>
    <w:rsid w:val="0082675A"/>
    <w:rsid w:val="00834FC6"/>
    <w:rsid w:val="00837AFB"/>
    <w:rsid w:val="008400F0"/>
    <w:rsid w:val="00846B6B"/>
    <w:rsid w:val="00851235"/>
    <w:rsid w:val="00856175"/>
    <w:rsid w:val="00857257"/>
    <w:rsid w:val="00862B66"/>
    <w:rsid w:val="0086497D"/>
    <w:rsid w:val="0087340F"/>
    <w:rsid w:val="008828D7"/>
    <w:rsid w:val="00882DBA"/>
    <w:rsid w:val="0088451E"/>
    <w:rsid w:val="008917F3"/>
    <w:rsid w:val="00897AE2"/>
    <w:rsid w:val="008A3A3A"/>
    <w:rsid w:val="008B4381"/>
    <w:rsid w:val="008B6E41"/>
    <w:rsid w:val="008B701F"/>
    <w:rsid w:val="008C1F87"/>
    <w:rsid w:val="008C2573"/>
    <w:rsid w:val="008C3386"/>
    <w:rsid w:val="008D2803"/>
    <w:rsid w:val="008D30CE"/>
    <w:rsid w:val="008D3C61"/>
    <w:rsid w:val="008D4257"/>
    <w:rsid w:val="008D506F"/>
    <w:rsid w:val="008D53BD"/>
    <w:rsid w:val="008D59A3"/>
    <w:rsid w:val="008E60AB"/>
    <w:rsid w:val="008F103A"/>
    <w:rsid w:val="009008DD"/>
    <w:rsid w:val="00904C4A"/>
    <w:rsid w:val="00905897"/>
    <w:rsid w:val="009066FE"/>
    <w:rsid w:val="00907F0C"/>
    <w:rsid w:val="0091557A"/>
    <w:rsid w:val="009243C6"/>
    <w:rsid w:val="0092628D"/>
    <w:rsid w:val="00927554"/>
    <w:rsid w:val="00930A4C"/>
    <w:rsid w:val="00931559"/>
    <w:rsid w:val="00944646"/>
    <w:rsid w:val="00944D6C"/>
    <w:rsid w:val="009455BF"/>
    <w:rsid w:val="00946A4B"/>
    <w:rsid w:val="00950A40"/>
    <w:rsid w:val="00953A27"/>
    <w:rsid w:val="00956719"/>
    <w:rsid w:val="009567B6"/>
    <w:rsid w:val="00964030"/>
    <w:rsid w:val="00974F9D"/>
    <w:rsid w:val="00980861"/>
    <w:rsid w:val="009822BC"/>
    <w:rsid w:val="0098550F"/>
    <w:rsid w:val="00986B43"/>
    <w:rsid w:val="009A60B7"/>
    <w:rsid w:val="009A6DEF"/>
    <w:rsid w:val="009B07B6"/>
    <w:rsid w:val="009B39DF"/>
    <w:rsid w:val="009B3DF5"/>
    <w:rsid w:val="009C105C"/>
    <w:rsid w:val="009C2F88"/>
    <w:rsid w:val="009C4EEF"/>
    <w:rsid w:val="009D256C"/>
    <w:rsid w:val="009D25B2"/>
    <w:rsid w:val="009D2872"/>
    <w:rsid w:val="009D7FEE"/>
    <w:rsid w:val="009F053A"/>
    <w:rsid w:val="009F0FC0"/>
    <w:rsid w:val="009F6C29"/>
    <w:rsid w:val="00A0093D"/>
    <w:rsid w:val="00A01178"/>
    <w:rsid w:val="00A040EA"/>
    <w:rsid w:val="00A046A4"/>
    <w:rsid w:val="00A04E02"/>
    <w:rsid w:val="00A061F5"/>
    <w:rsid w:val="00A10FE1"/>
    <w:rsid w:val="00A11C65"/>
    <w:rsid w:val="00A14A54"/>
    <w:rsid w:val="00A15045"/>
    <w:rsid w:val="00A228F2"/>
    <w:rsid w:val="00A230AF"/>
    <w:rsid w:val="00A260B7"/>
    <w:rsid w:val="00A30EC6"/>
    <w:rsid w:val="00A30FB4"/>
    <w:rsid w:val="00A3182C"/>
    <w:rsid w:val="00A34783"/>
    <w:rsid w:val="00A4793B"/>
    <w:rsid w:val="00A50BDE"/>
    <w:rsid w:val="00A53D59"/>
    <w:rsid w:val="00A54A53"/>
    <w:rsid w:val="00A54B4F"/>
    <w:rsid w:val="00A54FEA"/>
    <w:rsid w:val="00A7005F"/>
    <w:rsid w:val="00A72B3E"/>
    <w:rsid w:val="00A7344F"/>
    <w:rsid w:val="00A75F95"/>
    <w:rsid w:val="00A80528"/>
    <w:rsid w:val="00A810C8"/>
    <w:rsid w:val="00A8202B"/>
    <w:rsid w:val="00A83E83"/>
    <w:rsid w:val="00A966AC"/>
    <w:rsid w:val="00A96892"/>
    <w:rsid w:val="00AA0121"/>
    <w:rsid w:val="00AA058D"/>
    <w:rsid w:val="00AA249A"/>
    <w:rsid w:val="00AA494E"/>
    <w:rsid w:val="00AA5960"/>
    <w:rsid w:val="00AB2A3D"/>
    <w:rsid w:val="00AB2E6F"/>
    <w:rsid w:val="00AC0797"/>
    <w:rsid w:val="00AC2148"/>
    <w:rsid w:val="00AC459A"/>
    <w:rsid w:val="00AC78B2"/>
    <w:rsid w:val="00AD1228"/>
    <w:rsid w:val="00AD2DC5"/>
    <w:rsid w:val="00AD4306"/>
    <w:rsid w:val="00AE47C0"/>
    <w:rsid w:val="00AE5164"/>
    <w:rsid w:val="00AE7839"/>
    <w:rsid w:val="00AF0905"/>
    <w:rsid w:val="00AF62B7"/>
    <w:rsid w:val="00AF76B0"/>
    <w:rsid w:val="00B00E6B"/>
    <w:rsid w:val="00B0122D"/>
    <w:rsid w:val="00B039B4"/>
    <w:rsid w:val="00B04944"/>
    <w:rsid w:val="00B06B84"/>
    <w:rsid w:val="00B07390"/>
    <w:rsid w:val="00B07422"/>
    <w:rsid w:val="00B0786B"/>
    <w:rsid w:val="00B11223"/>
    <w:rsid w:val="00B11E4F"/>
    <w:rsid w:val="00B1313E"/>
    <w:rsid w:val="00B13265"/>
    <w:rsid w:val="00B14692"/>
    <w:rsid w:val="00B15F66"/>
    <w:rsid w:val="00B169F2"/>
    <w:rsid w:val="00B22992"/>
    <w:rsid w:val="00B272A4"/>
    <w:rsid w:val="00B352F2"/>
    <w:rsid w:val="00B40A4E"/>
    <w:rsid w:val="00B42C44"/>
    <w:rsid w:val="00B5031F"/>
    <w:rsid w:val="00B558B1"/>
    <w:rsid w:val="00B55E44"/>
    <w:rsid w:val="00B63ECB"/>
    <w:rsid w:val="00B66706"/>
    <w:rsid w:val="00B71545"/>
    <w:rsid w:val="00B73636"/>
    <w:rsid w:val="00B829D4"/>
    <w:rsid w:val="00B84267"/>
    <w:rsid w:val="00B91906"/>
    <w:rsid w:val="00B92E95"/>
    <w:rsid w:val="00B937E7"/>
    <w:rsid w:val="00BA1BA3"/>
    <w:rsid w:val="00BA5A1F"/>
    <w:rsid w:val="00BB000B"/>
    <w:rsid w:val="00BB0EAF"/>
    <w:rsid w:val="00BB21F5"/>
    <w:rsid w:val="00BC2FF4"/>
    <w:rsid w:val="00BD4B01"/>
    <w:rsid w:val="00BD5B92"/>
    <w:rsid w:val="00BE103D"/>
    <w:rsid w:val="00BF2079"/>
    <w:rsid w:val="00BF68A7"/>
    <w:rsid w:val="00C0467F"/>
    <w:rsid w:val="00C05E7A"/>
    <w:rsid w:val="00C12C09"/>
    <w:rsid w:val="00C1368D"/>
    <w:rsid w:val="00C15029"/>
    <w:rsid w:val="00C15CEE"/>
    <w:rsid w:val="00C161AC"/>
    <w:rsid w:val="00C22276"/>
    <w:rsid w:val="00C227E5"/>
    <w:rsid w:val="00C358A2"/>
    <w:rsid w:val="00C37DB6"/>
    <w:rsid w:val="00C4283B"/>
    <w:rsid w:val="00C4293F"/>
    <w:rsid w:val="00C47B5E"/>
    <w:rsid w:val="00C536FB"/>
    <w:rsid w:val="00C61A55"/>
    <w:rsid w:val="00C6330B"/>
    <w:rsid w:val="00C66E60"/>
    <w:rsid w:val="00C679C2"/>
    <w:rsid w:val="00C67FC9"/>
    <w:rsid w:val="00C71426"/>
    <w:rsid w:val="00C75634"/>
    <w:rsid w:val="00C75D9D"/>
    <w:rsid w:val="00C77922"/>
    <w:rsid w:val="00C8560D"/>
    <w:rsid w:val="00C87262"/>
    <w:rsid w:val="00C9503F"/>
    <w:rsid w:val="00CA0E3B"/>
    <w:rsid w:val="00CA196D"/>
    <w:rsid w:val="00CA4686"/>
    <w:rsid w:val="00CA7A73"/>
    <w:rsid w:val="00CB139A"/>
    <w:rsid w:val="00CB3703"/>
    <w:rsid w:val="00CC1A60"/>
    <w:rsid w:val="00CC6B1F"/>
    <w:rsid w:val="00CE0F98"/>
    <w:rsid w:val="00CE1CE1"/>
    <w:rsid w:val="00CE2EF1"/>
    <w:rsid w:val="00CE3FE4"/>
    <w:rsid w:val="00CF0987"/>
    <w:rsid w:val="00CF5202"/>
    <w:rsid w:val="00CF55A3"/>
    <w:rsid w:val="00D047F1"/>
    <w:rsid w:val="00D05978"/>
    <w:rsid w:val="00D0601F"/>
    <w:rsid w:val="00D101BF"/>
    <w:rsid w:val="00D13A29"/>
    <w:rsid w:val="00D16381"/>
    <w:rsid w:val="00D1774B"/>
    <w:rsid w:val="00D201F5"/>
    <w:rsid w:val="00D20B1A"/>
    <w:rsid w:val="00D235ED"/>
    <w:rsid w:val="00D25C5F"/>
    <w:rsid w:val="00D333F1"/>
    <w:rsid w:val="00D4579C"/>
    <w:rsid w:val="00D51FD0"/>
    <w:rsid w:val="00D54AA6"/>
    <w:rsid w:val="00D56B6A"/>
    <w:rsid w:val="00D62AF1"/>
    <w:rsid w:val="00D65CA4"/>
    <w:rsid w:val="00D66375"/>
    <w:rsid w:val="00D715A9"/>
    <w:rsid w:val="00D76CA8"/>
    <w:rsid w:val="00D851F6"/>
    <w:rsid w:val="00D902E3"/>
    <w:rsid w:val="00D90AA1"/>
    <w:rsid w:val="00DA2B4C"/>
    <w:rsid w:val="00DB7F68"/>
    <w:rsid w:val="00DC0213"/>
    <w:rsid w:val="00DC1CC2"/>
    <w:rsid w:val="00DD0D2B"/>
    <w:rsid w:val="00DD368E"/>
    <w:rsid w:val="00DD5606"/>
    <w:rsid w:val="00DE46DC"/>
    <w:rsid w:val="00E00117"/>
    <w:rsid w:val="00E029B9"/>
    <w:rsid w:val="00E06574"/>
    <w:rsid w:val="00E076E5"/>
    <w:rsid w:val="00E148E7"/>
    <w:rsid w:val="00E17B23"/>
    <w:rsid w:val="00E2303C"/>
    <w:rsid w:val="00E31BE0"/>
    <w:rsid w:val="00E37962"/>
    <w:rsid w:val="00E44191"/>
    <w:rsid w:val="00E46B39"/>
    <w:rsid w:val="00E547D1"/>
    <w:rsid w:val="00E54E75"/>
    <w:rsid w:val="00E5584E"/>
    <w:rsid w:val="00E57CB0"/>
    <w:rsid w:val="00E60EF9"/>
    <w:rsid w:val="00E62175"/>
    <w:rsid w:val="00E62447"/>
    <w:rsid w:val="00E65E7F"/>
    <w:rsid w:val="00E66291"/>
    <w:rsid w:val="00E712A3"/>
    <w:rsid w:val="00E7358E"/>
    <w:rsid w:val="00E73C3C"/>
    <w:rsid w:val="00E740A6"/>
    <w:rsid w:val="00E93B46"/>
    <w:rsid w:val="00E960F2"/>
    <w:rsid w:val="00EA2293"/>
    <w:rsid w:val="00EA51E0"/>
    <w:rsid w:val="00EA5FBE"/>
    <w:rsid w:val="00EB1A00"/>
    <w:rsid w:val="00EB7700"/>
    <w:rsid w:val="00ED0A8E"/>
    <w:rsid w:val="00ED7C5E"/>
    <w:rsid w:val="00EE4D72"/>
    <w:rsid w:val="00EE7696"/>
    <w:rsid w:val="00EF4C0E"/>
    <w:rsid w:val="00EF5F55"/>
    <w:rsid w:val="00EF65F3"/>
    <w:rsid w:val="00EF77D4"/>
    <w:rsid w:val="00F006A9"/>
    <w:rsid w:val="00F00AE7"/>
    <w:rsid w:val="00F0223B"/>
    <w:rsid w:val="00F02473"/>
    <w:rsid w:val="00F05BBE"/>
    <w:rsid w:val="00F06D5B"/>
    <w:rsid w:val="00F1013F"/>
    <w:rsid w:val="00F11615"/>
    <w:rsid w:val="00F2454F"/>
    <w:rsid w:val="00F42955"/>
    <w:rsid w:val="00F4578B"/>
    <w:rsid w:val="00F45F33"/>
    <w:rsid w:val="00F52448"/>
    <w:rsid w:val="00F527F2"/>
    <w:rsid w:val="00F52A90"/>
    <w:rsid w:val="00F559E6"/>
    <w:rsid w:val="00F57410"/>
    <w:rsid w:val="00F57E0A"/>
    <w:rsid w:val="00F61DCA"/>
    <w:rsid w:val="00F61E6B"/>
    <w:rsid w:val="00F61FF0"/>
    <w:rsid w:val="00F636BC"/>
    <w:rsid w:val="00F63C41"/>
    <w:rsid w:val="00F7304D"/>
    <w:rsid w:val="00F73081"/>
    <w:rsid w:val="00F75012"/>
    <w:rsid w:val="00F771B9"/>
    <w:rsid w:val="00F8165D"/>
    <w:rsid w:val="00F82EFB"/>
    <w:rsid w:val="00F8504C"/>
    <w:rsid w:val="00F8546E"/>
    <w:rsid w:val="00F926AA"/>
    <w:rsid w:val="00F93E45"/>
    <w:rsid w:val="00F93F67"/>
    <w:rsid w:val="00F9408E"/>
    <w:rsid w:val="00FB058E"/>
    <w:rsid w:val="00FB14AF"/>
    <w:rsid w:val="00FB1534"/>
    <w:rsid w:val="00FB3587"/>
    <w:rsid w:val="00FB3EA7"/>
    <w:rsid w:val="00FB42CB"/>
    <w:rsid w:val="00FB46A6"/>
    <w:rsid w:val="00FB6424"/>
    <w:rsid w:val="00FB66B9"/>
    <w:rsid w:val="00FC0979"/>
    <w:rsid w:val="00FC1698"/>
    <w:rsid w:val="00FC457B"/>
    <w:rsid w:val="00FC4622"/>
    <w:rsid w:val="00FD2BE0"/>
    <w:rsid w:val="00FD4939"/>
    <w:rsid w:val="00FD6BDC"/>
    <w:rsid w:val="00FD7064"/>
    <w:rsid w:val="00FE75FB"/>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9560FD"/>
  <w14:defaultImageDpi w14:val="96"/>
  <w15:docId w15:val="{5BA14540-91EB-4C3E-9C2F-8B6D5305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sk-SK"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7344F"/>
    <w:rPr>
      <w:lang w:eastAsia="nl-B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lang w:eastAsia="nl-BE"/>
    </w:rPr>
  </w:style>
  <w:style w:type="paragraph" w:customStyle="1" w:styleId="CM1">
    <w:name w:val="CM1"/>
    <w:basedOn w:val="Default"/>
    <w:next w:val="Default"/>
    <w:uiPriority w:val="99"/>
    <w:rPr>
      <w:color w:val="auto"/>
    </w:rPr>
  </w:style>
  <w:style w:type="paragraph" w:customStyle="1" w:styleId="CM5">
    <w:name w:val="CM5"/>
    <w:basedOn w:val="Default"/>
    <w:next w:val="Default"/>
    <w:uiPriority w:val="99"/>
    <w:rPr>
      <w:color w:val="auto"/>
    </w:rPr>
  </w:style>
  <w:style w:type="paragraph" w:customStyle="1" w:styleId="CM6">
    <w:name w:val="CM6"/>
    <w:basedOn w:val="Default"/>
    <w:next w:val="Default"/>
    <w:uiPriority w:val="99"/>
    <w:rPr>
      <w:color w:val="auto"/>
    </w:rPr>
  </w:style>
  <w:style w:type="paragraph" w:customStyle="1" w:styleId="CM7">
    <w:name w:val="CM7"/>
    <w:basedOn w:val="Default"/>
    <w:next w:val="Default"/>
    <w:uiPriority w:val="99"/>
    <w:rPr>
      <w:color w:val="auto"/>
    </w:rPr>
  </w:style>
  <w:style w:type="paragraph" w:customStyle="1" w:styleId="CM2">
    <w:name w:val="CM2"/>
    <w:basedOn w:val="Default"/>
    <w:next w:val="Default"/>
    <w:uiPriority w:val="99"/>
    <w:rPr>
      <w:color w:val="auto"/>
    </w:rPr>
  </w:style>
  <w:style w:type="paragraph" w:customStyle="1" w:styleId="CM8">
    <w:name w:val="CM8"/>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4">
    <w:name w:val="CM4"/>
    <w:basedOn w:val="Default"/>
    <w:next w:val="Default"/>
    <w:uiPriority w:val="99"/>
    <w:pPr>
      <w:spacing w:line="231" w:lineRule="atLeast"/>
    </w:pPr>
    <w:rPr>
      <w:color w:val="auto"/>
    </w:rPr>
  </w:style>
  <w:style w:type="paragraph" w:customStyle="1" w:styleId="CM9">
    <w:name w:val="CM9"/>
    <w:basedOn w:val="Default"/>
    <w:next w:val="Default"/>
    <w:uiPriority w:val="99"/>
    <w:rPr>
      <w:color w:val="auto"/>
    </w:rPr>
  </w:style>
  <w:style w:type="paragraph" w:customStyle="1" w:styleId="CM10">
    <w:name w:val="CM10"/>
    <w:basedOn w:val="Default"/>
    <w:next w:val="Default"/>
    <w:uiPriority w:val="99"/>
    <w:rPr>
      <w:color w:val="auto"/>
    </w:rPr>
  </w:style>
  <w:style w:type="paragraph" w:customStyle="1" w:styleId="CM11">
    <w:name w:val="CM11"/>
    <w:basedOn w:val="Default"/>
    <w:next w:val="Default"/>
    <w:uiPriority w:val="99"/>
    <w:rPr>
      <w:color w:val="auto"/>
    </w:rPr>
  </w:style>
  <w:style w:type="paragraph" w:styleId="Textbubliny">
    <w:name w:val="Balloon Text"/>
    <w:basedOn w:val="Normlny"/>
    <w:link w:val="TextbublinyChar"/>
    <w:uiPriority w:val="99"/>
    <w:semiHidden/>
    <w:unhideWhenUsed/>
    <w:rsid w:val="00127E96"/>
    <w:pPr>
      <w:spacing w:after="0" w:line="240" w:lineRule="auto"/>
    </w:pPr>
    <w:rPr>
      <w:rFonts w:ascii="Tahoma" w:hAnsi="Tahoma" w:cs="Tahoma"/>
      <w:sz w:val="16"/>
      <w:szCs w:val="16"/>
    </w:rPr>
  </w:style>
  <w:style w:type="character" w:styleId="Odkaznakomentr">
    <w:name w:val="annotation reference"/>
    <w:basedOn w:val="Predvolenpsmoodseku"/>
    <w:uiPriority w:val="99"/>
    <w:semiHidden/>
    <w:unhideWhenUsed/>
    <w:rsid w:val="00785C48"/>
    <w:rPr>
      <w:rFonts w:cs="Times New Roman"/>
      <w:sz w:val="16"/>
      <w:szCs w:val="16"/>
    </w:rPr>
  </w:style>
  <w:style w:type="character" w:customStyle="1" w:styleId="TextbublinyChar">
    <w:name w:val="Text bubliny Char"/>
    <w:basedOn w:val="Predvolenpsmoodseku"/>
    <w:link w:val="Textbubliny"/>
    <w:uiPriority w:val="99"/>
    <w:semiHidden/>
    <w:locked/>
    <w:rsid w:val="00127E96"/>
    <w:rPr>
      <w:rFonts w:ascii="Tahoma" w:hAnsi="Tahoma" w:cs="Tahoma"/>
      <w:sz w:val="16"/>
      <w:szCs w:val="16"/>
    </w:rPr>
  </w:style>
  <w:style w:type="paragraph" w:styleId="Textkomentra">
    <w:name w:val="annotation text"/>
    <w:basedOn w:val="Normlny"/>
    <w:link w:val="TextkomentraChar"/>
    <w:uiPriority w:val="99"/>
    <w:unhideWhenUsed/>
    <w:rsid w:val="00785C48"/>
    <w:rPr>
      <w:sz w:val="20"/>
      <w:szCs w:val="20"/>
    </w:rPr>
  </w:style>
  <w:style w:type="paragraph" w:styleId="Predmetkomentra">
    <w:name w:val="annotation subject"/>
    <w:basedOn w:val="Textkomentra"/>
    <w:next w:val="Textkomentra"/>
    <w:link w:val="PredmetkomentraChar"/>
    <w:uiPriority w:val="99"/>
    <w:semiHidden/>
    <w:unhideWhenUsed/>
    <w:rsid w:val="00785C48"/>
    <w:rPr>
      <w:b/>
      <w:bCs/>
    </w:rPr>
  </w:style>
  <w:style w:type="character" w:customStyle="1" w:styleId="TextkomentraChar">
    <w:name w:val="Text komentára Char"/>
    <w:basedOn w:val="Predvolenpsmoodseku"/>
    <w:link w:val="Textkomentra"/>
    <w:uiPriority w:val="99"/>
    <w:locked/>
    <w:rsid w:val="00785C48"/>
    <w:rPr>
      <w:rFonts w:cs="Times New Roman"/>
      <w:sz w:val="20"/>
      <w:szCs w:val="20"/>
    </w:rPr>
  </w:style>
  <w:style w:type="paragraph" w:styleId="Hlavika">
    <w:name w:val="header"/>
    <w:basedOn w:val="Normlny"/>
    <w:link w:val="HlavikaChar"/>
    <w:uiPriority w:val="99"/>
    <w:unhideWhenUsed/>
    <w:rsid w:val="009D2872"/>
    <w:pPr>
      <w:tabs>
        <w:tab w:val="center" w:pos="4536"/>
        <w:tab w:val="right" w:pos="9072"/>
      </w:tabs>
    </w:pPr>
  </w:style>
  <w:style w:type="character" w:customStyle="1" w:styleId="PredmetkomentraChar">
    <w:name w:val="Predmet komentára Char"/>
    <w:basedOn w:val="TextkomentraChar"/>
    <w:link w:val="Predmetkomentra"/>
    <w:uiPriority w:val="99"/>
    <w:semiHidden/>
    <w:locked/>
    <w:rsid w:val="00785C48"/>
    <w:rPr>
      <w:rFonts w:cs="Times New Roman"/>
      <w:b/>
      <w:bCs/>
      <w:sz w:val="20"/>
      <w:szCs w:val="20"/>
    </w:rPr>
  </w:style>
  <w:style w:type="paragraph" w:styleId="Pta">
    <w:name w:val="footer"/>
    <w:basedOn w:val="Normlny"/>
    <w:link w:val="PtaChar"/>
    <w:unhideWhenUsed/>
    <w:rsid w:val="009D2872"/>
    <w:pPr>
      <w:tabs>
        <w:tab w:val="center" w:pos="4536"/>
        <w:tab w:val="right" w:pos="9072"/>
      </w:tabs>
    </w:pPr>
  </w:style>
  <w:style w:type="character" w:customStyle="1" w:styleId="HlavikaChar">
    <w:name w:val="Hlavička Char"/>
    <w:basedOn w:val="Predvolenpsmoodseku"/>
    <w:link w:val="Hlavika"/>
    <w:uiPriority w:val="99"/>
    <w:locked/>
    <w:rsid w:val="009D2872"/>
    <w:rPr>
      <w:rFonts w:cs="Times New Roman"/>
    </w:rPr>
  </w:style>
  <w:style w:type="paragraph" w:styleId="Odsekzoznamu">
    <w:name w:val="List Paragraph"/>
    <w:basedOn w:val="Normlny"/>
    <w:uiPriority w:val="34"/>
    <w:qFormat/>
    <w:rsid w:val="00D65CA4"/>
    <w:pPr>
      <w:ind w:left="720"/>
      <w:contextualSpacing/>
    </w:pPr>
    <w:rPr>
      <w:rFonts w:eastAsia="Times New Roman"/>
      <w:lang w:eastAsia="en-US"/>
    </w:rPr>
  </w:style>
  <w:style w:type="character" w:customStyle="1" w:styleId="PtaChar">
    <w:name w:val="Päta Char"/>
    <w:basedOn w:val="Predvolenpsmoodseku"/>
    <w:link w:val="Pta"/>
    <w:locked/>
    <w:rsid w:val="009D2872"/>
    <w:rPr>
      <w:rFonts w:cs="Times New Roman"/>
    </w:rPr>
  </w:style>
  <w:style w:type="table" w:styleId="Mriekatabuky">
    <w:name w:val="Table Grid"/>
    <w:basedOn w:val="Normlnatabuka"/>
    <w:uiPriority w:val="59"/>
    <w:rsid w:val="00AC2148"/>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AC2148"/>
    <w:rPr>
      <w:rFonts w:cs="Times New Roman"/>
      <w:color w:val="0000FF" w:themeColor="hyperlink"/>
      <w:u w:val="single"/>
    </w:rPr>
  </w:style>
  <w:style w:type="paragraph" w:styleId="Revzia">
    <w:name w:val="Revision"/>
    <w:hidden/>
    <w:uiPriority w:val="99"/>
    <w:semiHidden/>
    <w:rsid w:val="00E65E7F"/>
    <w:pPr>
      <w:spacing w:after="0" w:line="240" w:lineRule="auto"/>
    </w:pPr>
    <w:rPr>
      <w:lang w:eastAsia="nl-BE"/>
    </w:rPr>
  </w:style>
  <w:style w:type="character" w:styleId="slostrany">
    <w:name w:val="page number"/>
    <w:basedOn w:val="Predvolenpsmoodseku"/>
    <w:rsid w:val="00AF76B0"/>
  </w:style>
  <w:style w:type="character" w:customStyle="1" w:styleId="Nevyrieenzmienka1">
    <w:name w:val="Nevyriešená zmienka1"/>
    <w:basedOn w:val="Predvolenpsmoodseku"/>
    <w:uiPriority w:val="99"/>
    <w:semiHidden/>
    <w:unhideWhenUsed/>
    <w:rsid w:val="00FB66B9"/>
    <w:rPr>
      <w:color w:val="605E5C"/>
      <w:shd w:val="clear" w:color="auto" w:fill="E1DFDD"/>
    </w:rPr>
  </w:style>
  <w:style w:type="paragraph" w:styleId="Zkladntext">
    <w:name w:val="Body Text"/>
    <w:basedOn w:val="Normlny"/>
    <w:link w:val="ZkladntextChar"/>
    <w:uiPriority w:val="1"/>
    <w:qFormat/>
    <w:rsid w:val="00765CD3"/>
    <w:pPr>
      <w:widowControl w:val="0"/>
      <w:autoSpaceDE w:val="0"/>
      <w:autoSpaceDN w:val="0"/>
      <w:spacing w:after="0" w:line="240" w:lineRule="auto"/>
    </w:pPr>
    <w:rPr>
      <w:rFonts w:ascii="Arial" w:eastAsia="Arial" w:hAnsi="Arial" w:cs="Arial"/>
      <w:i/>
      <w:iCs/>
      <w:sz w:val="20"/>
      <w:szCs w:val="20"/>
      <w:lang w:eastAsia="en-US"/>
    </w:rPr>
  </w:style>
  <w:style w:type="character" w:customStyle="1" w:styleId="ZkladntextChar">
    <w:name w:val="Základný text Char"/>
    <w:basedOn w:val="Predvolenpsmoodseku"/>
    <w:link w:val="Zkladntext"/>
    <w:uiPriority w:val="1"/>
    <w:rsid w:val="00765CD3"/>
    <w:rPr>
      <w:rFonts w:ascii="Arial" w:eastAsia="Arial" w:hAnsi="Arial" w:cs="Arial"/>
      <w:i/>
      <w:iCs/>
      <w:sz w:val="20"/>
      <w:szCs w:val="20"/>
      <w:lang w:eastAsia="en-US"/>
    </w:rPr>
  </w:style>
  <w:style w:type="character" w:styleId="Zstupntext">
    <w:name w:val="Placeholder Text"/>
    <w:basedOn w:val="Predvolenpsmoodseku"/>
    <w:uiPriority w:val="99"/>
    <w:semiHidden/>
    <w:rsid w:val="00B7154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10770">
      <w:bodyDiv w:val="1"/>
      <w:marLeft w:val="0"/>
      <w:marRight w:val="0"/>
      <w:marTop w:val="0"/>
      <w:marBottom w:val="0"/>
      <w:divBdr>
        <w:top w:val="none" w:sz="0" w:space="0" w:color="auto"/>
        <w:left w:val="none" w:sz="0" w:space="0" w:color="auto"/>
        <w:bottom w:val="none" w:sz="0" w:space="0" w:color="auto"/>
        <w:right w:val="none" w:sz="0" w:space="0" w:color="auto"/>
      </w:divBdr>
    </w:div>
    <w:div w:id="564872586">
      <w:bodyDiv w:val="1"/>
      <w:marLeft w:val="0"/>
      <w:marRight w:val="0"/>
      <w:marTop w:val="0"/>
      <w:marBottom w:val="0"/>
      <w:divBdr>
        <w:top w:val="none" w:sz="0" w:space="0" w:color="auto"/>
        <w:left w:val="none" w:sz="0" w:space="0" w:color="auto"/>
        <w:bottom w:val="none" w:sz="0" w:space="0" w:color="auto"/>
        <w:right w:val="none" w:sz="0" w:space="0" w:color="auto"/>
      </w:divBdr>
    </w:div>
    <w:div w:id="191188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p-distribucia.sk/dodavatelia/register-obnovitelnych-plynov/cennik-a-fakturacia/"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pp-distribucia.sk/dodavatelia/register-obnovitelnych-plynov/cennik-a-fakturacia/"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Všeobecné"/>
          <w:gallery w:val="placeholder"/>
        </w:category>
        <w:types>
          <w:type w:val="bbPlcHdr"/>
        </w:types>
        <w:behaviors>
          <w:behavior w:val="content"/>
        </w:behaviors>
        <w:guid w:val="{C6E7E69B-B89C-4D5C-8873-88B0091D221C}"/>
      </w:docPartPr>
      <w:docPartBody>
        <w:p w:rsidR="00F47F47" w:rsidRDefault="00DA7EB6">
          <w:r w:rsidRPr="00A13037">
            <w:rPr>
              <w:rStyle w:val="Zstupntext"/>
              <w:lang w:eastAsia="en-GB"/>
            </w:rPr>
            <w:t>Kliknite alebo ťuknite sem a zadajte text.</w:t>
          </w:r>
        </w:p>
      </w:docPartBody>
    </w:docPart>
    <w:docPart>
      <w:docPartPr>
        <w:name w:val="3B0E57DFA20F439584985A61070ED0F9"/>
        <w:category>
          <w:name w:val="Všeobecné"/>
          <w:gallery w:val="placeholder"/>
        </w:category>
        <w:types>
          <w:type w:val="bbPlcHdr"/>
        </w:types>
        <w:behaviors>
          <w:behavior w:val="content"/>
        </w:behaviors>
        <w:guid w:val="{4820EA2A-D4FB-4D81-BC3D-AEC99AC51779}"/>
      </w:docPartPr>
      <w:docPartBody>
        <w:p w:rsidR="00472787" w:rsidRDefault="00F47F47" w:rsidP="00F47F47">
          <w:pPr>
            <w:pStyle w:val="3B0E57DFA20F439584985A61070ED0F9"/>
          </w:pPr>
          <w:r w:rsidRPr="00A13037">
            <w:rPr>
              <w:rStyle w:val="Zstupntext"/>
              <w:lang w:eastAsia="en-GB"/>
            </w:rPr>
            <w:t>Kliknite alebo ťuknite sem a zadajte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EB6"/>
    <w:rsid w:val="00034FCE"/>
    <w:rsid w:val="00193FEC"/>
    <w:rsid w:val="001B4608"/>
    <w:rsid w:val="001E443A"/>
    <w:rsid w:val="00204D26"/>
    <w:rsid w:val="002353B1"/>
    <w:rsid w:val="00236F37"/>
    <w:rsid w:val="002C3991"/>
    <w:rsid w:val="00326525"/>
    <w:rsid w:val="00386A8A"/>
    <w:rsid w:val="00393B19"/>
    <w:rsid w:val="003F6A5A"/>
    <w:rsid w:val="004536DA"/>
    <w:rsid w:val="00472787"/>
    <w:rsid w:val="004B1645"/>
    <w:rsid w:val="00566AFC"/>
    <w:rsid w:val="00593054"/>
    <w:rsid w:val="00594CE4"/>
    <w:rsid w:val="006B446F"/>
    <w:rsid w:val="006C4B74"/>
    <w:rsid w:val="00760ECB"/>
    <w:rsid w:val="007E444A"/>
    <w:rsid w:val="00871618"/>
    <w:rsid w:val="008C3386"/>
    <w:rsid w:val="008D2B7F"/>
    <w:rsid w:val="00AF3C83"/>
    <w:rsid w:val="00B04944"/>
    <w:rsid w:val="00B22992"/>
    <w:rsid w:val="00B73636"/>
    <w:rsid w:val="00B82190"/>
    <w:rsid w:val="00C0467F"/>
    <w:rsid w:val="00C15CEE"/>
    <w:rsid w:val="00C66E60"/>
    <w:rsid w:val="00C679C2"/>
    <w:rsid w:val="00C87262"/>
    <w:rsid w:val="00CE3FE4"/>
    <w:rsid w:val="00D17799"/>
    <w:rsid w:val="00DA7EB6"/>
    <w:rsid w:val="00DC790A"/>
    <w:rsid w:val="00ED5B64"/>
    <w:rsid w:val="00F00AE7"/>
    <w:rsid w:val="00F47F47"/>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F47F47"/>
    <w:rPr>
      <w:color w:val="666666"/>
    </w:rPr>
  </w:style>
  <w:style w:type="paragraph" w:customStyle="1" w:styleId="3B0E57DFA20F439584985A61070ED0F9">
    <w:name w:val="3B0E57DFA20F439584985A61070ED0F9"/>
    <w:rsid w:val="00F47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8867C-A4C1-475E-AC67-291875A8D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6897</Words>
  <Characters>39319</Characters>
  <Application>Microsoft Office Word</Application>
  <DocSecurity>0</DocSecurity>
  <Lines>327</Lines>
  <Paragraphs>92</Paragraphs>
  <ScaleCrop>false</ScaleCrop>
  <HeadingPairs>
    <vt:vector size="2" baseType="variant">
      <vt:variant>
        <vt:lpstr>Názov</vt:lpstr>
      </vt:variant>
      <vt:variant>
        <vt:i4>1</vt:i4>
      </vt:variant>
    </vt:vector>
  </HeadingPairs>
  <TitlesOfParts>
    <vt:vector size="1" baseType="lpstr">
      <vt:lpstr/>
    </vt:vector>
  </TitlesOfParts>
  <Company>SPP - distribúcia, a.s.</Company>
  <LinksUpToDate>false</LinksUpToDate>
  <CharactersWithSpaces>46124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Július</dc:creator>
  <cp:lastModifiedBy>Roth Július</cp:lastModifiedBy>
  <cp:revision>4</cp:revision>
  <cp:lastPrinted>2026-05-27T12:53:00Z</cp:lastPrinted>
  <dcterms:created xsi:type="dcterms:W3CDTF">2026-06-12T12:01:00Z</dcterms:created>
  <dcterms:modified xsi:type="dcterms:W3CDTF">2026-06-16T06:52:00Z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0c794-246a-4c70-b857-2df127989a79_Enabled">
    <vt:lpwstr>true</vt:lpwstr>
  </property>
  <property fmtid="{D5CDD505-2E9C-101B-9397-08002B2CF9AE}" pid="3" name="MSIP_Label_d890c794-246a-4c70-b857-2df127989a79_SetDate">
    <vt:lpwstr>2026-04-27T14:22:49Z</vt:lpwstr>
  </property>
  <property fmtid="{D5CDD505-2E9C-101B-9397-08002B2CF9AE}" pid="4" name="MSIP_Label_d890c794-246a-4c70-b857-2df127989a79_Method">
    <vt:lpwstr>Standard</vt:lpwstr>
  </property>
  <property fmtid="{D5CDD505-2E9C-101B-9397-08002B2CF9AE}" pid="5" name="MSIP_Label_d890c794-246a-4c70-b857-2df127989a79_Name">
    <vt:lpwstr>General</vt:lpwstr>
  </property>
  <property fmtid="{D5CDD505-2E9C-101B-9397-08002B2CF9AE}" pid="6" name="MSIP_Label_d890c794-246a-4c70-b857-2df127989a79_SiteId">
    <vt:lpwstr>715d652a-94e9-4474-8b45-6862dd1d9529</vt:lpwstr>
  </property>
  <property fmtid="{D5CDD505-2E9C-101B-9397-08002B2CF9AE}" pid="7" name="MSIP_Label_d890c794-246a-4c70-b857-2df127989a79_ActionId">
    <vt:lpwstr>0ecbddca-5223-4ab3-873d-12748f8b9661</vt:lpwstr>
  </property>
  <property fmtid="{D5CDD505-2E9C-101B-9397-08002B2CF9AE}" pid="8" name="MSIP_Label_d890c794-246a-4c70-b857-2df127989a79_ContentBits">
    <vt:lpwstr>0</vt:lpwstr>
  </property>
  <property fmtid="{D5CDD505-2E9C-101B-9397-08002B2CF9AE}" pid="9" name="MSIP_Label_d890c794-246a-4c70-b857-2df127989a79_Tag">
    <vt:lpwstr>10, 3, 0, 1</vt:lpwstr>
  </property>
</Properties>
</file>